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C29" w:rsidRDefault="00105068" w:rsidP="006C3C29">
      <w:pPr>
        <w:jc w:val="right"/>
        <w:rPr>
          <w:sz w:val="22"/>
          <w:szCs w:val="22"/>
        </w:rPr>
      </w:pPr>
      <w:r>
        <w:rPr>
          <w:sz w:val="22"/>
          <w:szCs w:val="22"/>
        </w:rPr>
        <w:t>Приложение 2</w:t>
      </w:r>
      <w:r w:rsidR="006C3C29">
        <w:rPr>
          <w:sz w:val="22"/>
          <w:szCs w:val="22"/>
        </w:rPr>
        <w:t xml:space="preserve"> к тендерной документации</w:t>
      </w:r>
    </w:p>
    <w:p w:rsidR="00BB4EC5" w:rsidRDefault="00BB4EC5" w:rsidP="00005EA8">
      <w:pPr>
        <w:jc w:val="right"/>
      </w:pPr>
    </w:p>
    <w:p w:rsidR="00005EA8" w:rsidRDefault="00005EA8" w:rsidP="00005EA8">
      <w:pPr>
        <w:jc w:val="right"/>
      </w:pPr>
    </w:p>
    <w:p w:rsidR="00005EA8" w:rsidRDefault="00005EA8" w:rsidP="00D0059E">
      <w:pPr>
        <w:jc w:val="center"/>
        <w:rPr>
          <w:b/>
          <w:sz w:val="28"/>
          <w:szCs w:val="28"/>
        </w:rPr>
      </w:pPr>
      <w:r w:rsidRPr="00DE0D03">
        <w:rPr>
          <w:b/>
          <w:sz w:val="28"/>
          <w:szCs w:val="28"/>
        </w:rPr>
        <w:t>Техническая спецификация</w:t>
      </w:r>
      <w:r w:rsidR="00FA33A7">
        <w:rPr>
          <w:b/>
          <w:sz w:val="28"/>
          <w:szCs w:val="28"/>
        </w:rPr>
        <w:t xml:space="preserve"> </w:t>
      </w:r>
      <w:r w:rsidR="00CC5098" w:rsidRPr="00CC5098">
        <w:rPr>
          <w:b/>
          <w:bCs/>
          <w:sz w:val="28"/>
          <w:szCs w:val="28"/>
        </w:rPr>
        <w:t>медицинских  изделий</w:t>
      </w:r>
    </w:p>
    <w:p w:rsidR="00730B30" w:rsidRDefault="00730B30" w:rsidP="00005EA8"/>
    <w:tbl>
      <w:tblPr>
        <w:tblStyle w:val="a3"/>
        <w:tblW w:w="0" w:type="auto"/>
        <w:tblLook w:val="04A0"/>
      </w:tblPr>
      <w:tblGrid>
        <w:gridCol w:w="895"/>
        <w:gridCol w:w="4296"/>
        <w:gridCol w:w="9595"/>
      </w:tblGrid>
      <w:tr w:rsidR="00005EA8" w:rsidRPr="00880C9D" w:rsidTr="00D0059E">
        <w:trPr>
          <w:trHeight w:val="647"/>
        </w:trPr>
        <w:tc>
          <w:tcPr>
            <w:tcW w:w="895" w:type="dxa"/>
          </w:tcPr>
          <w:p w:rsidR="00005EA8" w:rsidRPr="00D0059E" w:rsidRDefault="00FA33A7" w:rsidP="00005EA8">
            <w:pPr>
              <w:rPr>
                <w:b/>
                <w:bCs/>
                <w:sz w:val="21"/>
                <w:szCs w:val="21"/>
              </w:rPr>
            </w:pPr>
            <w:r>
              <w:rPr>
                <w:b/>
                <w:bCs/>
                <w:sz w:val="21"/>
                <w:szCs w:val="21"/>
              </w:rPr>
              <w:t>Номер</w:t>
            </w:r>
            <w:r w:rsidR="00005EA8" w:rsidRPr="00D0059E">
              <w:rPr>
                <w:b/>
                <w:bCs/>
                <w:sz w:val="21"/>
                <w:szCs w:val="21"/>
              </w:rPr>
              <w:t xml:space="preserve"> </w:t>
            </w:r>
            <w:r w:rsidR="0076115E">
              <w:rPr>
                <w:b/>
                <w:bCs/>
                <w:sz w:val="21"/>
                <w:szCs w:val="21"/>
              </w:rPr>
              <w:t>лота</w:t>
            </w:r>
          </w:p>
          <w:p w:rsidR="00005EA8" w:rsidRPr="00D0059E" w:rsidRDefault="00005EA8" w:rsidP="00005EA8">
            <w:pPr>
              <w:rPr>
                <w:sz w:val="21"/>
                <w:szCs w:val="21"/>
              </w:rPr>
            </w:pPr>
          </w:p>
        </w:tc>
        <w:tc>
          <w:tcPr>
            <w:tcW w:w="4296" w:type="dxa"/>
          </w:tcPr>
          <w:p w:rsidR="00005EA8" w:rsidRPr="00D0059E" w:rsidRDefault="00005EA8" w:rsidP="0057368E">
            <w:pPr>
              <w:rPr>
                <w:sz w:val="21"/>
                <w:szCs w:val="21"/>
              </w:rPr>
            </w:pPr>
            <w:r w:rsidRPr="00D0059E">
              <w:rPr>
                <w:b/>
                <w:bCs/>
                <w:sz w:val="21"/>
                <w:szCs w:val="21"/>
              </w:rPr>
              <w:t xml:space="preserve">Наименование </w:t>
            </w:r>
            <w:r w:rsidR="0057368E" w:rsidRPr="00D0059E">
              <w:rPr>
                <w:b/>
                <w:bCs/>
                <w:sz w:val="21"/>
                <w:szCs w:val="21"/>
              </w:rPr>
              <w:t xml:space="preserve">медицинских </w:t>
            </w:r>
            <w:r w:rsidRPr="00D0059E">
              <w:rPr>
                <w:b/>
                <w:bCs/>
                <w:sz w:val="21"/>
                <w:szCs w:val="21"/>
              </w:rPr>
              <w:t xml:space="preserve">изделий </w:t>
            </w:r>
          </w:p>
        </w:tc>
        <w:tc>
          <w:tcPr>
            <w:tcW w:w="9595" w:type="dxa"/>
          </w:tcPr>
          <w:p w:rsidR="00005EA8" w:rsidRPr="00D0059E" w:rsidRDefault="00005EA8" w:rsidP="00005EA8">
            <w:pPr>
              <w:rPr>
                <w:sz w:val="21"/>
                <w:szCs w:val="21"/>
              </w:rPr>
            </w:pPr>
            <w:r w:rsidRPr="00D0059E">
              <w:rPr>
                <w:b/>
                <w:bCs/>
                <w:sz w:val="21"/>
                <w:szCs w:val="21"/>
              </w:rPr>
              <w:t xml:space="preserve">                 Техническая спецификация</w:t>
            </w:r>
          </w:p>
        </w:tc>
      </w:tr>
      <w:tr w:rsidR="00005EA8" w:rsidRPr="00880C9D" w:rsidTr="00227053">
        <w:tc>
          <w:tcPr>
            <w:tcW w:w="895" w:type="dxa"/>
          </w:tcPr>
          <w:p w:rsidR="00005EA8" w:rsidRPr="00170909" w:rsidRDefault="00683C87" w:rsidP="00C66005">
            <w:pPr>
              <w:jc w:val="center"/>
              <w:rPr>
                <w:b/>
              </w:rPr>
            </w:pPr>
            <w:r w:rsidRPr="00170909">
              <w:rPr>
                <w:b/>
              </w:rPr>
              <w:t>1</w:t>
            </w:r>
          </w:p>
        </w:tc>
        <w:tc>
          <w:tcPr>
            <w:tcW w:w="4296" w:type="dxa"/>
          </w:tcPr>
          <w:p w:rsidR="00005EA8" w:rsidRPr="00170909" w:rsidRDefault="005F6795" w:rsidP="00005EA8">
            <w:pPr>
              <w:rPr>
                <w:b/>
                <w:sz w:val="21"/>
                <w:szCs w:val="21"/>
              </w:rPr>
            </w:pPr>
            <w:r w:rsidRPr="005F6795">
              <w:rPr>
                <w:b/>
                <w:sz w:val="21"/>
                <w:szCs w:val="21"/>
              </w:rPr>
              <w:t>Стержни и винты для интрамедуллярного остеосинтеза проксимального отдела бедренной кости в комплекте</w:t>
            </w:r>
          </w:p>
        </w:tc>
        <w:tc>
          <w:tcPr>
            <w:tcW w:w="9595" w:type="dxa"/>
          </w:tcPr>
          <w:p w:rsidR="008B34EB" w:rsidRPr="00880C9D" w:rsidRDefault="005F6795" w:rsidP="00F5521B">
            <w:pPr>
              <w:jc w:val="both"/>
              <w:rPr>
                <w:bCs/>
                <w:sz w:val="20"/>
                <w:szCs w:val="20"/>
              </w:rPr>
            </w:pPr>
            <w:r w:rsidRPr="005F6795">
              <w:rPr>
                <w:bCs/>
                <w:sz w:val="20"/>
                <w:szCs w:val="20"/>
              </w:rPr>
              <w:t xml:space="preserve">Канюлированный вертельный стержень. Используется для фиксации межвертельных, чрезвертельных и подвертельных переломов, многооскольчатых переломов вертельно-подвертельной области, чрезвертельные переломы шейки бедренной кости. Длина стержня L=180мм, 200мм, 220мм, 240мм,260мм, 280мм фиксируется при помощи рентген негативного целенаправителя в дистальной и проксимальной части, диаметр дистальной части d=9мм, 10мм, 11мм, 12мм, 13мм диаметр проксимальной части D=17мм. Дистальная часть отклонена под углом 6°. Диаметр канюлированного отверстия 5мм. Шеечный угол 130°. В проксимальной части два фиксационных отверстия: отверстие диаметром 11мм под шеечный винт на расстоянии 42мм от верхушки стержня и отверстие диаметром 6,5мм под антиротационный винт на расстоянии 56,4мм от верхушки стержня. Расстояние между осями фиксационных отверстий 12 мм. В проксимальной части расположено одно резьбовое отверстие под винты 4,5мм и 5,0мм на расстоянии 170мм от верхушки стержня. На наружной поверхности дистальной части стержня находятся два продольных канала, которые обеспечивают снижение внутрикостного давления во время процедуры имплантации. Глубин каждого канала 0,4мм. Каналы расположены по кружности поперечного сечения каждые 180°. Каналы начинаются на расстоянии 114мм от верхушки стержня и проходят по всей длинне стержня, </w:t>
            </w:r>
            <w:proofErr w:type="gramStart"/>
            <w:r w:rsidRPr="005F6795">
              <w:rPr>
                <w:bCs/>
                <w:sz w:val="20"/>
                <w:szCs w:val="20"/>
              </w:rPr>
              <w:t>аж</w:t>
            </w:r>
            <w:proofErr w:type="gramEnd"/>
            <w:r w:rsidRPr="005F6795">
              <w:rPr>
                <w:bCs/>
                <w:sz w:val="20"/>
                <w:szCs w:val="20"/>
              </w:rPr>
              <w:t xml:space="preserve"> до конца стержня. Стержень универсальный, для левой и правой конечности. Стержень анодированный, цвет – зелёный. Стержень имплантировать только с соответствующими винтами к данным стержням и набором </w:t>
            </w:r>
            <w:proofErr w:type="gramStart"/>
            <w:r w:rsidRPr="005F6795">
              <w:rPr>
                <w:bCs/>
                <w:sz w:val="20"/>
                <w:szCs w:val="20"/>
              </w:rPr>
              <w:t>инструментов</w:t>
            </w:r>
            <w:proofErr w:type="gramEnd"/>
            <w:r w:rsidRPr="005F6795">
              <w:rPr>
                <w:bCs/>
                <w:sz w:val="20"/>
                <w:szCs w:val="20"/>
              </w:rPr>
              <w:t xml:space="preserve"> предназначенным для имплантации данных канюлированных вертельных стержней.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005EA8" w:rsidRPr="00880C9D" w:rsidTr="00227053">
        <w:tc>
          <w:tcPr>
            <w:tcW w:w="895" w:type="dxa"/>
          </w:tcPr>
          <w:p w:rsidR="00005EA8" w:rsidRPr="00170909" w:rsidRDefault="00851569" w:rsidP="00C66005">
            <w:pPr>
              <w:jc w:val="center"/>
              <w:rPr>
                <w:b/>
              </w:rPr>
            </w:pPr>
            <w:r w:rsidRPr="00170909">
              <w:rPr>
                <w:b/>
              </w:rPr>
              <w:t>2</w:t>
            </w:r>
          </w:p>
        </w:tc>
        <w:tc>
          <w:tcPr>
            <w:tcW w:w="4296" w:type="dxa"/>
          </w:tcPr>
          <w:p w:rsidR="00005EA8" w:rsidRPr="00170909" w:rsidRDefault="005F6795" w:rsidP="00547AA1">
            <w:pPr>
              <w:rPr>
                <w:b/>
                <w:sz w:val="21"/>
                <w:szCs w:val="21"/>
              </w:rPr>
            </w:pPr>
            <w:r w:rsidRPr="005F6795">
              <w:rPr>
                <w:b/>
                <w:sz w:val="21"/>
                <w:szCs w:val="21"/>
              </w:rPr>
              <w:t>Стержни и винты для интрамедуллярного остеосинтеза плечевой кости в комплекте</w:t>
            </w:r>
          </w:p>
        </w:tc>
        <w:tc>
          <w:tcPr>
            <w:tcW w:w="9595" w:type="dxa"/>
          </w:tcPr>
          <w:p w:rsidR="00005EA8" w:rsidRPr="00732640" w:rsidRDefault="005F6795" w:rsidP="00661B72">
            <w:pPr>
              <w:jc w:val="both"/>
              <w:rPr>
                <w:bCs/>
                <w:sz w:val="20"/>
                <w:szCs w:val="20"/>
              </w:rPr>
            </w:pPr>
            <w:r w:rsidRPr="00732640">
              <w:rPr>
                <w:bCs/>
                <w:sz w:val="20"/>
                <w:szCs w:val="20"/>
              </w:rPr>
              <w:t xml:space="preserve">Стержень  компрессионный предназначен для фиксации переломов плечевой кости. Стержень имеет анатомическую форму, длина L= от 200 мм до 280 мм с шагом 20 мм. Фиксация стержня при помощи целенаправителя, диаметр дистальной части d=8мм и 9 мм. Стержень канюлированный, диаметр канюлированного отверстия 5мм. Диаметр проксимальной части стержня 10мм. В дистальной части стержня расположены 4 нерезьбовые отверстия диаметром 4,5мм на расстоянии 5мм, 15мм,25мм и 35мм от конца стержня. В проксимальной части расположены 2 отверстия: 1 динамическое отверстие на расстоянии 18,25мм от верхушки стержня позволяющее выполнить компрессию на промежутке 7,5мм и 1 нерезьбовое отверстие диаметром 4,5мм на расстоянии 38мм от верхушки стержня. На поверхности дистального отдела имеются 2 продольных канала расположеных на длинне всей дистальной части стержня на глубине 0,5мм. Каналы начинаются на расстоянии 48мм от верхушки стержня. Проксимальная часть стержня наклонена под углом 6° относительно </w:t>
            </w:r>
            <w:proofErr w:type="gramStart"/>
            <w:r w:rsidRPr="00732640">
              <w:rPr>
                <w:bCs/>
                <w:sz w:val="20"/>
                <w:szCs w:val="20"/>
              </w:rPr>
              <w:t>дистальной</w:t>
            </w:r>
            <w:proofErr w:type="gramEnd"/>
            <w:r w:rsidRPr="00732640">
              <w:rPr>
                <w:bCs/>
                <w:sz w:val="20"/>
                <w:szCs w:val="20"/>
              </w:rPr>
              <w:t xml:space="preserve">. В реконструктивных отверстиях можно в порядке замены применять винты диаметром 4,5 и 5,0 мм. В проксимальной части стержня находится резьбовое отверстие М7х1мм под </w:t>
            </w:r>
            <w:r w:rsidRPr="00732640">
              <w:rPr>
                <w:bCs/>
                <w:sz w:val="20"/>
                <w:szCs w:val="20"/>
              </w:rPr>
              <w:lastRenderedPageBreak/>
              <w:t xml:space="preserve">слепой винт длинной 10мм. В проксимальной части у верхушки стержня находятся два </w:t>
            </w:r>
            <w:proofErr w:type="gramStart"/>
            <w:r w:rsidRPr="00732640">
              <w:rPr>
                <w:bCs/>
                <w:sz w:val="20"/>
                <w:szCs w:val="20"/>
              </w:rPr>
              <w:t>углубления</w:t>
            </w:r>
            <w:proofErr w:type="gramEnd"/>
            <w:r w:rsidRPr="00732640">
              <w:rPr>
                <w:bCs/>
                <w:sz w:val="20"/>
                <w:szCs w:val="20"/>
              </w:rPr>
              <w:t xml:space="preserve"> проходящие через ось винта, размером 3,5х4мм, служащие деротацией во время крепления стержня с направителем.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732640">
              <w:rPr>
                <w:bCs/>
                <w:sz w:val="20"/>
                <w:szCs w:val="20"/>
              </w:rPr>
              <w:t>х</w:t>
            </w:r>
            <w:proofErr w:type="gramEnd"/>
            <w:r w:rsidRPr="00732640">
              <w:rPr>
                <w:bCs/>
                <w:sz w:val="20"/>
                <w:szCs w:val="20"/>
              </w:rPr>
              <w:t>., Cr - 17,0 - 19,0% max., Mo - 2,25 - 3,0%, Ni - 13,0 - 15,0%, Cu - 0,5% max., Fe - остальное.</w:t>
            </w:r>
          </w:p>
        </w:tc>
      </w:tr>
      <w:tr w:rsidR="008C3E68" w:rsidRPr="00880C9D" w:rsidTr="00227053">
        <w:tc>
          <w:tcPr>
            <w:tcW w:w="895" w:type="dxa"/>
          </w:tcPr>
          <w:p w:rsidR="008C3E68" w:rsidRPr="00170909" w:rsidRDefault="00851569" w:rsidP="00C66005">
            <w:pPr>
              <w:jc w:val="center"/>
              <w:rPr>
                <w:b/>
              </w:rPr>
            </w:pPr>
            <w:r w:rsidRPr="00170909">
              <w:rPr>
                <w:b/>
              </w:rPr>
              <w:lastRenderedPageBreak/>
              <w:t>3</w:t>
            </w:r>
          </w:p>
        </w:tc>
        <w:tc>
          <w:tcPr>
            <w:tcW w:w="4296" w:type="dxa"/>
          </w:tcPr>
          <w:p w:rsidR="008C3E68" w:rsidRPr="00170909" w:rsidRDefault="005F6795" w:rsidP="005F6795">
            <w:pPr>
              <w:rPr>
                <w:b/>
                <w:sz w:val="21"/>
                <w:szCs w:val="21"/>
              </w:rPr>
            </w:pPr>
            <w:r w:rsidRPr="005F6795">
              <w:rPr>
                <w:b/>
                <w:sz w:val="21"/>
                <w:szCs w:val="21"/>
              </w:rPr>
              <w:t>Стержни и винты для интрамедуллярного остеосинтеза большеберцовой кости в комплекте</w:t>
            </w:r>
          </w:p>
        </w:tc>
        <w:tc>
          <w:tcPr>
            <w:tcW w:w="9595" w:type="dxa"/>
          </w:tcPr>
          <w:p w:rsidR="008B34EB" w:rsidRPr="00702C76" w:rsidRDefault="005F6795" w:rsidP="005F6795">
            <w:pPr>
              <w:ind w:right="299"/>
              <w:jc w:val="both"/>
              <w:rPr>
                <w:sz w:val="20"/>
                <w:szCs w:val="20"/>
              </w:rPr>
            </w:pPr>
            <w:r w:rsidRPr="005F6795">
              <w:rPr>
                <w:sz w:val="20"/>
                <w:szCs w:val="20"/>
              </w:rPr>
              <w:t xml:space="preserve">Стержень канюлированный для фиксации переломов большеберцовой кости. Диаметр стержня d= 9мм и 10 мм,  длина стержня L=  от 270 мм до 375 мм с шагом 15 мм. Стержень канюлированный. Диаметр канюлированного канала в дистальной части 5 мм. Канюлированный канал в проксимальной части – </w:t>
            </w:r>
            <w:proofErr w:type="gramStart"/>
            <w:r w:rsidRPr="005F6795">
              <w:rPr>
                <w:sz w:val="20"/>
                <w:szCs w:val="20"/>
              </w:rPr>
              <w:t>резьбовое</w:t>
            </w:r>
            <w:proofErr w:type="gramEnd"/>
            <w:r w:rsidRPr="005F6795">
              <w:rPr>
                <w:sz w:val="20"/>
                <w:szCs w:val="20"/>
              </w:rPr>
              <w:t xml:space="preserve"> тверстие М8. Фиксация стержня при помощи дистального целенаправителя возможна для каждого размера стержня. Должна быть возможность создания </w:t>
            </w:r>
            <w:proofErr w:type="gramStart"/>
            <w:r w:rsidRPr="005F6795">
              <w:rPr>
                <w:sz w:val="20"/>
                <w:szCs w:val="20"/>
              </w:rPr>
              <w:t>компрессии</w:t>
            </w:r>
            <w:proofErr w:type="gramEnd"/>
            <w:r w:rsidRPr="005F6795">
              <w:rPr>
                <w:sz w:val="20"/>
                <w:szCs w:val="20"/>
              </w:rPr>
              <w:t xml:space="preserve"> как в проксимальной, так и в дистальной части стержня. В проксимальной части имеются 5 отверстий. 2 резьбовых отверсия у верхушки стержня на расстоянии 17мм и 24мм соответственно, расположенных переменно под углом 45° к оси двух нерезьбовых отверстий и одного динамического. Нерезьбовые отверстия в проксимальной части расположены от верхушки стержня на расстоянии 31мм и 72мм соответственно. Динамическое отверстие в проксимальной части расположено от верхушки стержня на расстоянии 47мм и позволяет провести компрессию на промежутке 11,5мм. Отверстия в проксимальной части позволяют фиксировать стержень как минимум в трех разных плоскостях. Проксимальная часть стержня имеет изгиб под углом 13° и по радиусу R=40мм  относительно дистальной части стержня. </w:t>
            </w:r>
            <w:proofErr w:type="gramStart"/>
            <w:r w:rsidRPr="005F6795">
              <w:rPr>
                <w:sz w:val="20"/>
                <w:szCs w:val="20"/>
              </w:rPr>
              <w:t>В дистальной части стержня расположены не менее 5 отверстий. 4 резьбовых отверстий от конца стержня на расстоянии 5мм, 11,5мм, 18мм и 26мм соответственно, расположенных последовательно по спирали под углом 45° каждое следующее к предыдущему.</w:t>
            </w:r>
            <w:proofErr w:type="gramEnd"/>
            <w:r w:rsidRPr="005F6795">
              <w:rPr>
                <w:sz w:val="20"/>
                <w:szCs w:val="20"/>
              </w:rPr>
              <w:t xml:space="preserve"> Динамическое отверстие в дистальной части расположено от конца стержня на расстоянии 35мм и позволяет провести компрессию на промежутке 6мм. Дистальная часть с отверсиями на расстоянии 55мм от конца стержня изогнута по радиусу R=40мм. Резьбовые отверстия обеспечивают фиксацию в четырех плоскостях. Треугольное поперечное сечение нижней части стержня и компрессионного отверстия верхней части обеспечивают снижение внутрикостного давления во время процедуры имплантации. В реконструктивных отверстиях можно применять в порядке замены винты диаметром 4,5мм и 5,0мм. Канюлированные слепые винты, позволяющие удлинить верхнюю часть стержня, выпускаются как минимум 6 размеров в диапазоне от 0мм до 25мм с шагом 5мм.  Импланты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5F6795">
              <w:rPr>
                <w:sz w:val="20"/>
                <w:szCs w:val="20"/>
              </w:rPr>
              <w:t>х</w:t>
            </w:r>
            <w:proofErr w:type="gramEnd"/>
            <w:r w:rsidRPr="005F6795">
              <w:rPr>
                <w:sz w:val="20"/>
                <w:szCs w:val="20"/>
              </w:rPr>
              <w:t>., Cr - 17, 0 - 19,0% max., Mo - 2,25 - 3,0%, Ni - 13,0 - 15,0%, Cu - 0,5% max., Fe - остальное.</w:t>
            </w:r>
          </w:p>
        </w:tc>
      </w:tr>
      <w:tr w:rsidR="00005EA8" w:rsidRPr="00880C9D" w:rsidTr="00227053">
        <w:tc>
          <w:tcPr>
            <w:tcW w:w="895" w:type="dxa"/>
          </w:tcPr>
          <w:p w:rsidR="00005EA8" w:rsidRPr="00170BCD" w:rsidRDefault="00851569" w:rsidP="00C66005">
            <w:pPr>
              <w:jc w:val="center"/>
              <w:rPr>
                <w:b/>
              </w:rPr>
            </w:pPr>
            <w:r w:rsidRPr="00170BCD">
              <w:rPr>
                <w:b/>
              </w:rPr>
              <w:t>4</w:t>
            </w:r>
          </w:p>
        </w:tc>
        <w:tc>
          <w:tcPr>
            <w:tcW w:w="4296" w:type="dxa"/>
          </w:tcPr>
          <w:p w:rsidR="00547AA1" w:rsidRPr="00F5521B" w:rsidRDefault="005F6795" w:rsidP="005F3EA1">
            <w:pPr>
              <w:rPr>
                <w:b/>
                <w:sz w:val="21"/>
                <w:szCs w:val="21"/>
              </w:rPr>
            </w:pPr>
            <w:r w:rsidRPr="005F6795">
              <w:rPr>
                <w:b/>
                <w:sz w:val="21"/>
                <w:szCs w:val="21"/>
              </w:rPr>
              <w:t>Стержни и винты для интрамедуллярного остеосинтеза бедренной кости в комплекте</w:t>
            </w:r>
          </w:p>
        </w:tc>
        <w:tc>
          <w:tcPr>
            <w:tcW w:w="9595" w:type="dxa"/>
          </w:tcPr>
          <w:p w:rsidR="00661B72" w:rsidRPr="00661B72" w:rsidRDefault="005F6795" w:rsidP="005F6795">
            <w:pPr>
              <w:ind w:right="299"/>
              <w:jc w:val="both"/>
              <w:rPr>
                <w:sz w:val="20"/>
                <w:szCs w:val="20"/>
              </w:rPr>
            </w:pPr>
            <w:r w:rsidRPr="005F6795">
              <w:rPr>
                <w:sz w:val="20"/>
                <w:szCs w:val="20"/>
              </w:rPr>
              <w:t>Универсальный канюлированный и неканюлированный (сплошной) стержень предназначен для лечения переломов бедренной кости (применяется при компрессионном, реконструктивном и ретроградном методах лечения, а так же для артродезирования коленного сустава), вводится ант</w:t>
            </w:r>
            <w:proofErr w:type="gramStart"/>
            <w:r w:rsidRPr="005F6795">
              <w:rPr>
                <w:sz w:val="20"/>
                <w:szCs w:val="20"/>
              </w:rPr>
              <w:t>е-</w:t>
            </w:r>
            <w:proofErr w:type="gramEnd"/>
            <w:r w:rsidRPr="005F6795">
              <w:rPr>
                <w:sz w:val="20"/>
                <w:szCs w:val="20"/>
              </w:rPr>
              <w:t xml:space="preserve"> и ретроградным методами. Длина L= от 280 мм до 600 мм с шагом 20 мм, фиксация стержня при помощи дистального целенаправителя возможна до длины 520 мм, диаметр дистальной части стержней d=9 мм,  10 мм, 11мм диаметр проксимальной части 13 мм, длинна проксимальной части 82 мм. Проксимальная часть стержня изогнута на радиусе 2800 мм. На поверхности дистального отдела имеются 2 продольных канала </w:t>
            </w:r>
            <w:r w:rsidRPr="005F6795">
              <w:rPr>
                <w:sz w:val="20"/>
                <w:szCs w:val="20"/>
              </w:rPr>
              <w:lastRenderedPageBreak/>
              <w:t>расположеных на длинне всей дистальной части стержня в оси динамических отверстий на глубине 0,6мм. Каналы начинаются на расстоянии 79 мм от верхушки стержня. Стержени канюлированные, диаметр канюлированного отверстия в дистальной части 4 мм и в проксимальной части 5 мм. Должна быть возможность создания компрессии в дистальной и проксимальной части стержня. Стержени правые и левые. Являются универсальным, т</w:t>
            </w:r>
            <w:proofErr w:type="gramStart"/>
            <w:r w:rsidRPr="005F6795">
              <w:rPr>
                <w:sz w:val="20"/>
                <w:szCs w:val="20"/>
              </w:rPr>
              <w:t>.к</w:t>
            </w:r>
            <w:proofErr w:type="gramEnd"/>
            <w:r w:rsidRPr="005F6795">
              <w:rPr>
                <w:sz w:val="20"/>
                <w:szCs w:val="20"/>
              </w:rPr>
              <w:t xml:space="preserve"> правый стержень может быть установлен на левую конечность и наоборот, кроме реконструктивного метода остеосинтеза ( через шейку бедренной кости). В проксимальной части имеются 6 отверстий. 2 нерезьбовых отверсия у верхушки стержня диаметром 6,5мм на расстоянии 15мм и 30мм от верхушки стержня, перпендикулярно поверхности стержня. Используются при ретроградном методе фиксации под дистальные винты 6,5мм и блокирующий набор 6,5 мм для фиксации мыщелков. 2 нерезьбовых отверсия у верхушки стержня диаметром 6,5мм на расстоянии 47мм и 58,5мм от верхушки стержня, расположеных в плоскости шейки вертела под углом 45° от поверхности стержня. Используются при реконструктивном и антеградном методе фиксации под дистальные винты 6,5мм и реконструктивные винты 6,5 </w:t>
            </w:r>
            <w:proofErr w:type="gramStart"/>
            <w:r w:rsidRPr="005F6795">
              <w:rPr>
                <w:sz w:val="20"/>
                <w:szCs w:val="20"/>
              </w:rPr>
              <w:t>мм</w:t>
            </w:r>
            <w:proofErr w:type="gramEnd"/>
            <w:r w:rsidRPr="005F6795">
              <w:rPr>
                <w:sz w:val="20"/>
                <w:szCs w:val="20"/>
              </w:rPr>
              <w:t xml:space="preserve"> имплантированные в шейку бедра. Данные отверстия соединены динамическим отверстием диаметром 4,5мм, позволяющим провести компрессию на промежутке 11,5мм. 1 резьбовое отверстие под винт 4,5мм от верхушки стержня на расстоянии 72мм в плоскости шейки вертела. </w:t>
            </w:r>
            <w:proofErr w:type="gramStart"/>
            <w:r w:rsidRPr="005F6795">
              <w:rPr>
                <w:sz w:val="20"/>
                <w:szCs w:val="20"/>
              </w:rPr>
              <w:t>В дистальной части стержня расположены не менее 4 отверстий. 3 резьбовые отверстия под винты 4,5мм от конца стержня на расстоянии 5 мм, 15мм и 25мм в плоскости перпендикулярно плоскости шейки вертела и одно динамическое отверстие диаметром 4,5 мм на расстоянии 35мм, позволяющее провести компрессию на расстоянии 6 мм в плоскости шейки вертела.</w:t>
            </w:r>
            <w:proofErr w:type="gramEnd"/>
            <w:r w:rsidRPr="005F6795">
              <w:rPr>
                <w:sz w:val="20"/>
                <w:szCs w:val="20"/>
              </w:rPr>
              <w:t xml:space="preserve"> В проксимальной части стержня находится </w:t>
            </w:r>
            <w:proofErr w:type="gramStart"/>
            <w:r w:rsidRPr="005F6795">
              <w:rPr>
                <w:sz w:val="20"/>
                <w:szCs w:val="20"/>
              </w:rPr>
              <w:t>резьбовое</w:t>
            </w:r>
            <w:proofErr w:type="gramEnd"/>
            <w:r w:rsidRPr="005F6795">
              <w:rPr>
                <w:sz w:val="20"/>
                <w:szCs w:val="20"/>
              </w:rPr>
              <w:t xml:space="preserve"> отверсие М 10 под слепой и ко</w:t>
            </w:r>
            <w:r>
              <w:rPr>
                <w:sz w:val="20"/>
                <w:szCs w:val="20"/>
              </w:rPr>
              <w:t xml:space="preserve">мпрессионный винт длинной 25мм. </w:t>
            </w:r>
            <w:r w:rsidRPr="005F6795">
              <w:rPr>
                <w:sz w:val="20"/>
                <w:szCs w:val="20"/>
              </w:rPr>
              <w:t>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5F6795">
              <w:rPr>
                <w:sz w:val="20"/>
                <w:szCs w:val="20"/>
              </w:rPr>
              <w:t>х</w:t>
            </w:r>
            <w:proofErr w:type="gramEnd"/>
            <w:r w:rsidRPr="005F6795">
              <w:rPr>
                <w:sz w:val="20"/>
                <w:szCs w:val="20"/>
              </w:rPr>
              <w:t>., Cr   - 17,0 - 19,0% max., Mo - 2,25 - 3,0%, Ni   - 13,0 - 15,0%, Cu   - 0,5% max., Fe   -остальное.</w:t>
            </w:r>
          </w:p>
          <w:p w:rsidR="005327A3" w:rsidRPr="00661B72" w:rsidRDefault="005327A3" w:rsidP="00661B72">
            <w:pPr>
              <w:jc w:val="both"/>
              <w:rPr>
                <w:bCs/>
                <w:sz w:val="20"/>
                <w:szCs w:val="20"/>
              </w:rPr>
            </w:pPr>
          </w:p>
        </w:tc>
      </w:tr>
      <w:tr w:rsidR="00D0059E" w:rsidRPr="00880C9D" w:rsidTr="00227053">
        <w:tc>
          <w:tcPr>
            <w:tcW w:w="895" w:type="dxa"/>
          </w:tcPr>
          <w:p w:rsidR="00D0059E" w:rsidRPr="00170BCD" w:rsidRDefault="00D0059E" w:rsidP="00C66005">
            <w:pPr>
              <w:jc w:val="center"/>
              <w:rPr>
                <w:b/>
              </w:rPr>
            </w:pPr>
            <w:r w:rsidRPr="00170BCD">
              <w:rPr>
                <w:b/>
              </w:rPr>
              <w:lastRenderedPageBreak/>
              <w:t>5</w:t>
            </w:r>
          </w:p>
        </w:tc>
        <w:tc>
          <w:tcPr>
            <w:tcW w:w="4296" w:type="dxa"/>
          </w:tcPr>
          <w:p w:rsidR="00D0059E" w:rsidRPr="00F5521B" w:rsidRDefault="005F6795" w:rsidP="00005EA8">
            <w:pPr>
              <w:rPr>
                <w:b/>
                <w:bCs/>
                <w:sz w:val="21"/>
                <w:szCs w:val="21"/>
              </w:rPr>
            </w:pPr>
            <w:r w:rsidRPr="005F6795">
              <w:rPr>
                <w:b/>
                <w:bCs/>
                <w:sz w:val="21"/>
                <w:szCs w:val="21"/>
              </w:rPr>
              <w:t>Эластичные (гибкие) стержни для интрамедуллярного остеосинтеза трубчатых костей</w:t>
            </w:r>
          </w:p>
        </w:tc>
        <w:tc>
          <w:tcPr>
            <w:tcW w:w="9595" w:type="dxa"/>
          </w:tcPr>
          <w:p w:rsidR="00E864DA" w:rsidRPr="00CF7ED6" w:rsidRDefault="005F6795" w:rsidP="005140E2">
            <w:pPr>
              <w:ind w:right="299"/>
              <w:jc w:val="both"/>
              <w:rPr>
                <w:bCs/>
                <w:sz w:val="21"/>
                <w:szCs w:val="21"/>
              </w:rPr>
            </w:pPr>
            <w:r w:rsidRPr="00CF7ED6">
              <w:rPr>
                <w:bCs/>
                <w:sz w:val="21"/>
                <w:szCs w:val="21"/>
              </w:rPr>
              <w:t xml:space="preserve">Эластичные интрамедуллярные стержни для детей, предназначены для лечения переломов костей нижних конечностей у детей и миниатюрных пациентов, верхних конечностей у всех пациентов не зависимо от возраста. Используются так же в костях с узким костномозговым каналом. Эластичные </w:t>
            </w:r>
            <w:proofErr w:type="gramStart"/>
            <w:r w:rsidRPr="00CF7ED6">
              <w:rPr>
                <w:bCs/>
                <w:sz w:val="21"/>
                <w:szCs w:val="21"/>
              </w:rPr>
              <w:t>стержни</w:t>
            </w:r>
            <w:proofErr w:type="gramEnd"/>
            <w:r w:rsidRPr="00CF7ED6">
              <w:rPr>
                <w:bCs/>
                <w:sz w:val="21"/>
                <w:szCs w:val="21"/>
              </w:rPr>
              <w:t xml:space="preserve"> используемые у детей не мешают росту кости. Представляет собой гладкий круглый стержень, один из концов которого приплюснут и Г-образно изогнут для погружной фиксации в метаэпифизе поврежденной кости, второй конец должен быть круглый для погружной фиксации в слепой винт соответствующего диаметра. Должен поставляться в шести вариантах типоразмеров: диаметр от 2,0 мм до  4,0 мм с шагом 0,5 мм, длиной 400 мм. Цветовая маркировка стержней желтым, коричневым, бирюзовым, синим и розовым цветом. Имплантаты должны быть оценены по критериям безопасности и совместимости с процедурами магнитно-резонансной томографии. Материал изготовлени</w:t>
            </w:r>
            <w:proofErr w:type="gramStart"/>
            <w:r w:rsidRPr="00CF7ED6">
              <w:rPr>
                <w:bCs/>
                <w:sz w:val="21"/>
                <w:szCs w:val="21"/>
              </w:rPr>
              <w:t>я-</w:t>
            </w:r>
            <w:proofErr w:type="gramEnd"/>
            <w:r w:rsidRPr="00CF7ED6">
              <w:rPr>
                <w:bCs/>
                <w:sz w:val="21"/>
                <w:szCs w:val="21"/>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005EA8" w:rsidRPr="00880C9D" w:rsidTr="00227053">
        <w:tc>
          <w:tcPr>
            <w:tcW w:w="895" w:type="dxa"/>
          </w:tcPr>
          <w:p w:rsidR="00005EA8" w:rsidRPr="00170BCD" w:rsidRDefault="00D0059E" w:rsidP="00C66005">
            <w:pPr>
              <w:jc w:val="center"/>
              <w:rPr>
                <w:b/>
              </w:rPr>
            </w:pPr>
            <w:r w:rsidRPr="00170BCD">
              <w:rPr>
                <w:b/>
              </w:rPr>
              <w:t>6</w:t>
            </w:r>
          </w:p>
        </w:tc>
        <w:tc>
          <w:tcPr>
            <w:tcW w:w="4296" w:type="dxa"/>
          </w:tcPr>
          <w:p w:rsidR="00005EA8" w:rsidRPr="009665A3" w:rsidRDefault="00B246F0" w:rsidP="00005EA8">
            <w:pPr>
              <w:rPr>
                <w:b/>
                <w:sz w:val="21"/>
                <w:szCs w:val="21"/>
              </w:rPr>
            </w:pPr>
            <w:r>
              <w:rPr>
                <w:rFonts w:eastAsiaTheme="minorHAnsi"/>
                <w:b/>
                <w:color w:val="000000"/>
                <w:lang w:eastAsia="en-US"/>
              </w:rPr>
              <w:t>HDL-Холестерин</w:t>
            </w:r>
            <w:r w:rsidR="009665A3" w:rsidRPr="009665A3">
              <w:rPr>
                <w:rFonts w:eastAsiaTheme="minorHAnsi"/>
                <w:b/>
                <w:color w:val="000000"/>
                <w:lang w:eastAsia="en-US"/>
              </w:rPr>
              <w:t xml:space="preserve">  </w:t>
            </w:r>
          </w:p>
        </w:tc>
        <w:tc>
          <w:tcPr>
            <w:tcW w:w="9595" w:type="dxa"/>
          </w:tcPr>
          <w:p w:rsidR="00732640" w:rsidRPr="00663BEF" w:rsidRDefault="00732640" w:rsidP="00732640">
            <w:pPr>
              <w:jc w:val="both"/>
              <w:rPr>
                <w:sz w:val="21"/>
                <w:szCs w:val="21"/>
              </w:rPr>
            </w:pPr>
            <w:r w:rsidRPr="00663BEF">
              <w:rPr>
                <w:sz w:val="21"/>
                <w:szCs w:val="21"/>
              </w:rPr>
              <w:t>HDL-ХОЛЕСТЕРИН набор биохимических реагентов из комплекта Анализатор биохимический</w:t>
            </w:r>
            <w:r w:rsidR="007049F7">
              <w:rPr>
                <w:sz w:val="21"/>
                <w:szCs w:val="21"/>
              </w:rPr>
              <w:t xml:space="preserve"> </w:t>
            </w:r>
            <w:r w:rsidRPr="00663BEF">
              <w:rPr>
                <w:sz w:val="21"/>
                <w:szCs w:val="21"/>
              </w:rPr>
              <w:t xml:space="preserve">турбидиметрический ВА400, наличие баркода на каждом флаконе, липидный профиль; прямой метод без осаждения, холестеролоксидаза/детергент; фиксированное время, жидкий биреагент. Состав: </w:t>
            </w:r>
            <w:r w:rsidRPr="00663BEF">
              <w:rPr>
                <w:sz w:val="21"/>
                <w:szCs w:val="21"/>
              </w:rPr>
              <w:lastRenderedPageBreak/>
              <w:t xml:space="preserve">Реагент А. Буфер Гуда, холестеролэстераза &gt;1 </w:t>
            </w:r>
            <w:proofErr w:type="gramStart"/>
            <w:r w:rsidRPr="00663BEF">
              <w:rPr>
                <w:sz w:val="21"/>
                <w:szCs w:val="21"/>
              </w:rPr>
              <w:t>Ед</w:t>
            </w:r>
            <w:proofErr w:type="gramEnd"/>
            <w:r w:rsidRPr="00663BEF">
              <w:rPr>
                <w:sz w:val="21"/>
                <w:szCs w:val="21"/>
              </w:rPr>
              <w:t>/мл, холестеролоксидаза &gt;0.5 Ед/мл, 4-аминоантипирин 1 ммоль/л, N,N-bis(4сульфобутил)-m-толуидин (DSBmT) 1 ммоль/л, акселератор реакции 1 ммоль/л. Реагент В. Буфер Гуда, холестерол эстераза до 1.5 МЕ/мл, 4-аминоатипирин 1 ммоль/л, аскорбат</w:t>
            </w:r>
          </w:p>
          <w:p w:rsidR="00732640" w:rsidRPr="00663BEF" w:rsidRDefault="00732640" w:rsidP="00732640">
            <w:pPr>
              <w:jc w:val="both"/>
              <w:rPr>
                <w:sz w:val="21"/>
                <w:szCs w:val="21"/>
              </w:rPr>
            </w:pPr>
            <w:r w:rsidRPr="00663BEF">
              <w:rPr>
                <w:sz w:val="21"/>
                <w:szCs w:val="21"/>
              </w:rPr>
              <w:t>оксидаза до 3 кМЕ/л, детергент. Метрологические характеристики: Пороговая чувствительность: 1.83 мг/дл = 0.048 ммоль/л. Пределы линейности:</w:t>
            </w:r>
          </w:p>
          <w:p w:rsidR="00732640" w:rsidRPr="00663BEF" w:rsidRDefault="00732640" w:rsidP="00732640">
            <w:pPr>
              <w:jc w:val="both"/>
              <w:rPr>
                <w:sz w:val="21"/>
                <w:szCs w:val="21"/>
              </w:rPr>
            </w:pPr>
            <w:r w:rsidRPr="00663BEF">
              <w:rPr>
                <w:sz w:val="21"/>
                <w:szCs w:val="21"/>
              </w:rPr>
              <w:t>200 мг/дл = 5.18 ммоль/л. Точность: Средняя концентрация 53 мг/дл = 1.39 ммоль/л: Повторность (CV) - 0,6 %, Внутрилабораторный показатель (CV)-</w:t>
            </w:r>
          </w:p>
          <w:p w:rsidR="00E864DA" w:rsidRPr="00663BEF" w:rsidRDefault="00732640" w:rsidP="00732640">
            <w:pPr>
              <w:jc w:val="both"/>
              <w:rPr>
                <w:sz w:val="21"/>
                <w:szCs w:val="21"/>
              </w:rPr>
            </w:pPr>
            <w:r w:rsidRPr="00663BEF">
              <w:rPr>
                <w:sz w:val="21"/>
                <w:szCs w:val="21"/>
              </w:rPr>
              <w:t>2,7 %; 73 мг/дл = 1.88 ммоль/л: Повторность (CV) -0,7%, Внутрилабораторный показатель (CV)- 2,6 %. Количество исследований - 960. Фасовка 4 x 60 мл + 4 x 20 мл, температура хранения +2 +8 ⁰С. Реагенты рекомендованы к использованию в анализаторах ВА200/ВА400.</w:t>
            </w:r>
          </w:p>
        </w:tc>
      </w:tr>
      <w:tr w:rsidR="00005EA8" w:rsidRPr="00880C9D" w:rsidTr="00227053">
        <w:tc>
          <w:tcPr>
            <w:tcW w:w="895" w:type="dxa"/>
          </w:tcPr>
          <w:p w:rsidR="00005EA8" w:rsidRPr="00170BCD" w:rsidRDefault="00D0059E" w:rsidP="00C66005">
            <w:pPr>
              <w:jc w:val="center"/>
              <w:rPr>
                <w:b/>
              </w:rPr>
            </w:pPr>
            <w:r w:rsidRPr="00170BCD">
              <w:rPr>
                <w:b/>
              </w:rPr>
              <w:lastRenderedPageBreak/>
              <w:t>7</w:t>
            </w:r>
          </w:p>
        </w:tc>
        <w:tc>
          <w:tcPr>
            <w:tcW w:w="4296" w:type="dxa"/>
          </w:tcPr>
          <w:p w:rsidR="00005EA8" w:rsidRPr="00E20867" w:rsidRDefault="009665A3" w:rsidP="00005EA8">
            <w:pPr>
              <w:rPr>
                <w:b/>
                <w:sz w:val="21"/>
                <w:szCs w:val="21"/>
              </w:rPr>
            </w:pPr>
            <w:r w:rsidRPr="00E20867">
              <w:rPr>
                <w:rFonts w:eastAsiaTheme="minorHAnsi"/>
                <w:b/>
                <w:color w:val="000000"/>
                <w:lang w:eastAsia="en-US"/>
              </w:rPr>
              <w:t>Рекомбипластин</w:t>
            </w:r>
          </w:p>
        </w:tc>
        <w:tc>
          <w:tcPr>
            <w:tcW w:w="9595" w:type="dxa"/>
          </w:tcPr>
          <w:p w:rsidR="00E864DA" w:rsidRPr="00663BEF" w:rsidRDefault="00732640" w:rsidP="00E864DA">
            <w:pPr>
              <w:jc w:val="both"/>
              <w:rPr>
                <w:bCs/>
                <w:sz w:val="21"/>
                <w:szCs w:val="21"/>
                <w:lang w:val="kk-KZ"/>
              </w:rPr>
            </w:pPr>
            <w:r w:rsidRPr="00663BEF">
              <w:rPr>
                <w:sz w:val="21"/>
                <w:szCs w:val="21"/>
              </w:rPr>
              <w:t xml:space="preserve">Реагент для определения протромбинового времени (ПВ), МНО и расчетного фибриногена в человеческой цитратной плазме. Используется для оценки внешнего пути гемостаза и мониторинга ОАТ. В состав реагента входит рекомбинантный человеческий </w:t>
            </w:r>
            <w:proofErr w:type="gramStart"/>
            <w:r w:rsidRPr="00663BEF">
              <w:rPr>
                <w:sz w:val="21"/>
                <w:szCs w:val="21"/>
              </w:rPr>
              <w:t>тканевой</w:t>
            </w:r>
            <w:proofErr w:type="gramEnd"/>
            <w:r w:rsidRPr="00663BEF">
              <w:rPr>
                <w:sz w:val="21"/>
                <w:szCs w:val="21"/>
              </w:rPr>
              <w:t xml:space="preserve"> фактор, характеризующийся МИЧ ~ 1. Реагент стабилен на борту анализатора 4 дня. Форма выпуска: лиофилизат. Методы определения: нефелометрия или турбидиметрия. Поставляется в картонных упаковках (уп.: 5 фл. по 20 мл реагента + 5 фл. по 20 мл разбавителя). Температура хранени</w:t>
            </w:r>
            <w:r w:rsidR="00FB74C7">
              <w:rPr>
                <w:sz w:val="21"/>
                <w:szCs w:val="21"/>
              </w:rPr>
              <w:t>я +2 +8 C.</w:t>
            </w:r>
            <w:r w:rsidRPr="00663BEF">
              <w:rPr>
                <w:sz w:val="21"/>
                <w:szCs w:val="21"/>
              </w:rPr>
              <w:t xml:space="preserve">  Фасовка: 5 фл. по 20 мл реагента + 5 фл. по 20 мл разбавителя. Методы определения: нефелометрия или турбидиметрия. Испол</w:t>
            </w:r>
            <w:r w:rsidR="00FB74C7">
              <w:rPr>
                <w:sz w:val="21"/>
                <w:szCs w:val="21"/>
              </w:rPr>
              <w:t xml:space="preserve">ьзуется для работы </w:t>
            </w:r>
            <w:r w:rsidRPr="00663BEF">
              <w:rPr>
                <w:sz w:val="21"/>
                <w:szCs w:val="21"/>
              </w:rPr>
              <w:t xml:space="preserve"> си</w:t>
            </w:r>
            <w:r w:rsidR="00FB74C7">
              <w:rPr>
                <w:sz w:val="21"/>
                <w:szCs w:val="21"/>
              </w:rPr>
              <w:t>с</w:t>
            </w:r>
            <w:r w:rsidRPr="00663BEF">
              <w:rPr>
                <w:sz w:val="21"/>
                <w:szCs w:val="21"/>
              </w:rPr>
              <w:t>теме анализаторов семейства ACL ТОР (300, 500, 700) и ACL Elite PRO.</w:t>
            </w:r>
          </w:p>
        </w:tc>
      </w:tr>
      <w:tr w:rsidR="00CC5098" w:rsidRPr="00880C9D" w:rsidTr="00227053">
        <w:tc>
          <w:tcPr>
            <w:tcW w:w="895" w:type="dxa"/>
          </w:tcPr>
          <w:p w:rsidR="00CC5098" w:rsidRPr="00170BCD" w:rsidRDefault="00D0059E" w:rsidP="00C66005">
            <w:pPr>
              <w:jc w:val="center"/>
              <w:rPr>
                <w:b/>
              </w:rPr>
            </w:pPr>
            <w:r w:rsidRPr="00170BCD">
              <w:rPr>
                <w:b/>
              </w:rPr>
              <w:t>8</w:t>
            </w:r>
          </w:p>
        </w:tc>
        <w:tc>
          <w:tcPr>
            <w:tcW w:w="4296" w:type="dxa"/>
          </w:tcPr>
          <w:p w:rsidR="00CC5098" w:rsidRPr="00E20867" w:rsidRDefault="009665A3" w:rsidP="00005EA8">
            <w:pPr>
              <w:rPr>
                <w:b/>
                <w:sz w:val="21"/>
                <w:szCs w:val="21"/>
              </w:rPr>
            </w:pPr>
            <w:r w:rsidRPr="00E20867">
              <w:rPr>
                <w:rFonts w:eastAsiaTheme="minorHAnsi"/>
                <w:b/>
                <w:color w:val="000000"/>
                <w:lang w:eastAsia="en-US"/>
              </w:rPr>
              <w:t>Фибриноген по Клаусу</w:t>
            </w:r>
          </w:p>
        </w:tc>
        <w:tc>
          <w:tcPr>
            <w:tcW w:w="9595" w:type="dxa"/>
          </w:tcPr>
          <w:p w:rsidR="00E864DA" w:rsidRPr="00663BEF" w:rsidRDefault="00732640" w:rsidP="00E864DA">
            <w:pPr>
              <w:jc w:val="both"/>
              <w:rPr>
                <w:sz w:val="21"/>
                <w:szCs w:val="21"/>
              </w:rPr>
            </w:pPr>
            <w:r w:rsidRPr="00663BEF">
              <w:rPr>
                <w:sz w:val="21"/>
                <w:szCs w:val="21"/>
              </w:rPr>
              <w:t xml:space="preserve">Реагент для определения фибриногена по Клауссу в человеческой цитратной плазме. В состав реагента входит очищенный бычий тромбин в концентрации 100 </w:t>
            </w:r>
            <w:proofErr w:type="gramStart"/>
            <w:r w:rsidRPr="00663BEF">
              <w:rPr>
                <w:sz w:val="21"/>
                <w:szCs w:val="21"/>
              </w:rPr>
              <w:t>ЕД</w:t>
            </w:r>
            <w:proofErr w:type="gramEnd"/>
            <w:r w:rsidRPr="00663BEF">
              <w:rPr>
                <w:sz w:val="21"/>
                <w:szCs w:val="21"/>
              </w:rPr>
              <w:t>/мл. Линейность метода составляет 35-1000 мг/дл. Реагент не чувствителен к прямым ингибиторам тромбина.  Форма выпуска: лиофилизат. Методы определения: нефелометрия или турбидиметрия. Поставляется в картонных упаковках (уп.: 10 фл. по 5 мл реагента). Температура хр</w:t>
            </w:r>
            <w:r w:rsidR="00FB74C7">
              <w:rPr>
                <w:sz w:val="21"/>
                <w:szCs w:val="21"/>
              </w:rPr>
              <w:t>анения +2 +8 C.</w:t>
            </w:r>
            <w:r w:rsidRPr="00663BEF">
              <w:rPr>
                <w:sz w:val="21"/>
                <w:szCs w:val="21"/>
              </w:rPr>
              <w:t xml:space="preserve"> Фасовка: 10 фл. по 5 мл реагента. Методы определения: нефелометрия или турбидиметрия. Испол</w:t>
            </w:r>
            <w:r w:rsidR="00FB74C7">
              <w:rPr>
                <w:sz w:val="21"/>
                <w:szCs w:val="21"/>
              </w:rPr>
              <w:t>ьзуется для работы на</w:t>
            </w:r>
            <w:r w:rsidRPr="00663BEF">
              <w:rPr>
                <w:sz w:val="21"/>
                <w:szCs w:val="21"/>
              </w:rPr>
              <w:t xml:space="preserve"> си</w:t>
            </w:r>
            <w:r w:rsidR="00FB74C7">
              <w:rPr>
                <w:sz w:val="21"/>
                <w:szCs w:val="21"/>
              </w:rPr>
              <w:t>с</w:t>
            </w:r>
            <w:r w:rsidRPr="00663BEF">
              <w:rPr>
                <w:sz w:val="21"/>
                <w:szCs w:val="21"/>
              </w:rPr>
              <w:t>теме анализаторов семейства ACL ТОР (300, 500, 700) и ACL Elite PRO.</w:t>
            </w:r>
          </w:p>
        </w:tc>
      </w:tr>
      <w:tr w:rsidR="00CC5098" w:rsidRPr="00880C9D" w:rsidTr="00227053">
        <w:tc>
          <w:tcPr>
            <w:tcW w:w="895" w:type="dxa"/>
          </w:tcPr>
          <w:p w:rsidR="00CC5098" w:rsidRPr="00170BCD" w:rsidRDefault="00D0059E" w:rsidP="00C66005">
            <w:pPr>
              <w:jc w:val="center"/>
              <w:rPr>
                <w:b/>
              </w:rPr>
            </w:pPr>
            <w:r w:rsidRPr="00170BCD">
              <w:rPr>
                <w:b/>
              </w:rPr>
              <w:t>9</w:t>
            </w:r>
          </w:p>
        </w:tc>
        <w:tc>
          <w:tcPr>
            <w:tcW w:w="4296" w:type="dxa"/>
          </w:tcPr>
          <w:p w:rsidR="00CC5098" w:rsidRPr="00E20867" w:rsidRDefault="009665A3" w:rsidP="00005EA8">
            <w:pPr>
              <w:rPr>
                <w:b/>
                <w:sz w:val="21"/>
                <w:szCs w:val="21"/>
              </w:rPr>
            </w:pPr>
            <w:r w:rsidRPr="00E20867">
              <w:rPr>
                <w:rFonts w:eastAsiaTheme="minorHAnsi"/>
                <w:b/>
                <w:color w:val="000000"/>
                <w:lang w:eastAsia="en-US"/>
              </w:rPr>
              <w:t xml:space="preserve">Промывочный раствор </w:t>
            </w:r>
          </w:p>
        </w:tc>
        <w:tc>
          <w:tcPr>
            <w:tcW w:w="9595" w:type="dxa"/>
          </w:tcPr>
          <w:p w:rsidR="00E864DA" w:rsidRPr="00663BEF" w:rsidRDefault="00B246F0" w:rsidP="00E06923">
            <w:pPr>
              <w:jc w:val="both"/>
              <w:rPr>
                <w:bCs/>
                <w:sz w:val="21"/>
                <w:szCs w:val="21"/>
              </w:rPr>
            </w:pPr>
            <w:r w:rsidRPr="00663BEF">
              <w:rPr>
                <w:rFonts w:eastAsiaTheme="minorHAnsi"/>
                <w:color w:val="000000"/>
                <w:sz w:val="21"/>
                <w:szCs w:val="21"/>
                <w:lang w:eastAsia="en-US"/>
              </w:rPr>
              <w:t>Пр</w:t>
            </w:r>
            <w:r w:rsidR="007049F7">
              <w:rPr>
                <w:rFonts w:eastAsiaTheme="minorHAnsi"/>
                <w:color w:val="000000"/>
                <w:sz w:val="21"/>
                <w:szCs w:val="21"/>
                <w:lang w:eastAsia="en-US"/>
              </w:rPr>
              <w:t>омывочный раствор</w:t>
            </w:r>
            <w:r w:rsidRPr="00663BEF">
              <w:rPr>
                <w:rFonts w:eastAsiaTheme="minorHAnsi"/>
                <w:color w:val="000000"/>
                <w:sz w:val="21"/>
                <w:szCs w:val="21"/>
                <w:lang w:eastAsia="en-US"/>
              </w:rPr>
              <w:t>.</w:t>
            </w:r>
            <w:r w:rsidRPr="00663BEF">
              <w:rPr>
                <w:sz w:val="21"/>
                <w:szCs w:val="21"/>
              </w:rPr>
              <w:t xml:space="preserve"> </w:t>
            </w:r>
            <w:r w:rsidR="00732640" w:rsidRPr="00663BEF">
              <w:rPr>
                <w:sz w:val="21"/>
                <w:szCs w:val="21"/>
              </w:rPr>
              <w:t xml:space="preserve">Оптический референс. </w:t>
            </w:r>
            <w:proofErr w:type="gramStart"/>
            <w:r w:rsidR="00732640" w:rsidRPr="00663BEF">
              <w:rPr>
                <w:sz w:val="21"/>
                <w:szCs w:val="21"/>
              </w:rPr>
              <w:t>Предназначен</w:t>
            </w:r>
            <w:proofErr w:type="gramEnd"/>
            <w:r w:rsidR="00732640" w:rsidRPr="00663BEF">
              <w:rPr>
                <w:sz w:val="21"/>
                <w:szCs w:val="21"/>
              </w:rPr>
              <w:t xml:space="preserve"> для использования в качестве фона для оптических измерений (нефелометрия, фотометрия) и в качестве промывающей жидкости для деталей коагулометров. Форма выпуска: жидкая, готовая к применению. Поставляется в картонных упаковках (уп.: 1 фл. по 1000 мл). Температура хранения +15 +25 C.</w:t>
            </w:r>
          </w:p>
        </w:tc>
      </w:tr>
      <w:tr w:rsidR="00547AA1" w:rsidRPr="00880C9D" w:rsidTr="00227053">
        <w:tc>
          <w:tcPr>
            <w:tcW w:w="895" w:type="dxa"/>
          </w:tcPr>
          <w:p w:rsidR="00547AA1" w:rsidRPr="00170BCD" w:rsidRDefault="00D0059E" w:rsidP="00C66005">
            <w:pPr>
              <w:jc w:val="center"/>
              <w:rPr>
                <w:b/>
              </w:rPr>
            </w:pPr>
            <w:r w:rsidRPr="00170BCD">
              <w:rPr>
                <w:b/>
              </w:rPr>
              <w:t>10</w:t>
            </w:r>
          </w:p>
        </w:tc>
        <w:tc>
          <w:tcPr>
            <w:tcW w:w="4296" w:type="dxa"/>
          </w:tcPr>
          <w:p w:rsidR="00547AA1" w:rsidRPr="00E20867" w:rsidRDefault="009665A3" w:rsidP="00005EA8">
            <w:pPr>
              <w:rPr>
                <w:b/>
                <w:sz w:val="21"/>
                <w:szCs w:val="21"/>
              </w:rPr>
            </w:pPr>
            <w:r w:rsidRPr="00E20867">
              <w:rPr>
                <w:rFonts w:eastAsiaTheme="minorHAnsi"/>
                <w:b/>
                <w:color w:val="000000"/>
                <w:lang w:eastAsia="en-US"/>
              </w:rPr>
              <w:t>Д-Димер</w:t>
            </w:r>
          </w:p>
        </w:tc>
        <w:tc>
          <w:tcPr>
            <w:tcW w:w="9595" w:type="dxa"/>
          </w:tcPr>
          <w:p w:rsidR="00732640" w:rsidRPr="00663BEF" w:rsidRDefault="00732640" w:rsidP="00732640">
            <w:pPr>
              <w:pStyle w:val="a4"/>
              <w:jc w:val="both"/>
              <w:rPr>
                <w:rFonts w:ascii="Times New Roman" w:hAnsi="Times New Roman" w:cs="Times New Roman"/>
                <w:sz w:val="21"/>
                <w:szCs w:val="21"/>
              </w:rPr>
            </w:pPr>
            <w:r w:rsidRPr="00663BEF">
              <w:rPr>
                <w:rFonts w:ascii="Times New Roman" w:hAnsi="Times New Roman" w:cs="Times New Roman"/>
                <w:sz w:val="21"/>
                <w:szCs w:val="21"/>
              </w:rPr>
              <w:t xml:space="preserve">Быстрый количественный тест </w:t>
            </w:r>
            <w:r w:rsidRPr="00663BEF">
              <w:rPr>
                <w:rFonts w:ascii="Times New Roman" w:hAnsi="Times New Roman" w:cs="Times New Roman"/>
                <w:sz w:val="21"/>
                <w:szCs w:val="21"/>
                <w:lang w:val="en-US"/>
              </w:rPr>
              <w:t>D</w:t>
            </w:r>
            <w:r w:rsidR="007049F7">
              <w:rPr>
                <w:rFonts w:ascii="Times New Roman" w:hAnsi="Times New Roman" w:cs="Times New Roman"/>
                <w:sz w:val="21"/>
                <w:szCs w:val="21"/>
              </w:rPr>
              <w:t>-димер</w:t>
            </w:r>
            <w:r w:rsidRPr="00663BEF">
              <w:rPr>
                <w:rFonts w:ascii="Times New Roman" w:hAnsi="Times New Roman" w:cs="Times New Roman"/>
                <w:sz w:val="21"/>
                <w:szCs w:val="21"/>
              </w:rPr>
              <w:t xml:space="preserve"> предназначен для количественного определения концентрации</w:t>
            </w:r>
            <w:r w:rsidR="007049F7">
              <w:rPr>
                <w:rFonts w:ascii="Times New Roman" w:hAnsi="Times New Roman" w:cs="Times New Roman"/>
                <w:sz w:val="21"/>
                <w:szCs w:val="21"/>
              </w:rPr>
              <w:t xml:space="preserve"> </w:t>
            </w:r>
            <w:r w:rsidRPr="00663BEF">
              <w:rPr>
                <w:rFonts w:ascii="Times New Roman" w:hAnsi="Times New Roman" w:cs="Times New Roman"/>
                <w:sz w:val="21"/>
                <w:szCs w:val="21"/>
                <w:lang w:val="en-US"/>
              </w:rPr>
              <w:t>D</w:t>
            </w:r>
            <w:r w:rsidRPr="00663BEF">
              <w:rPr>
                <w:rFonts w:ascii="Times New Roman" w:hAnsi="Times New Roman" w:cs="Times New Roman"/>
                <w:sz w:val="21"/>
                <w:szCs w:val="21"/>
              </w:rPr>
              <w:t>-димер</w:t>
            </w:r>
            <w:r w:rsidR="007049F7">
              <w:rPr>
                <w:rFonts w:ascii="Times New Roman" w:hAnsi="Times New Roman" w:cs="Times New Roman"/>
                <w:sz w:val="21"/>
                <w:szCs w:val="21"/>
              </w:rPr>
              <w:t xml:space="preserve"> </w:t>
            </w:r>
            <w:r w:rsidRPr="00663BEF">
              <w:rPr>
                <w:rFonts w:ascii="Times New Roman" w:hAnsi="Times New Roman" w:cs="Times New Roman"/>
                <w:sz w:val="21"/>
                <w:szCs w:val="21"/>
              </w:rPr>
              <w:t>в цельной крови или плазме человека на анализаторах  Biotime-</w:t>
            </w:r>
            <w:r w:rsidRPr="00663BEF">
              <w:rPr>
                <w:rFonts w:ascii="Times New Roman" w:hAnsi="Times New Roman" w:cs="Times New Roman"/>
                <w:sz w:val="21"/>
                <w:szCs w:val="21"/>
                <w:lang w:val="en-US"/>
              </w:rPr>
              <w:t>YG</w:t>
            </w:r>
            <w:r w:rsidRPr="00663BEF">
              <w:rPr>
                <w:rFonts w:ascii="Times New Roman" w:hAnsi="Times New Roman" w:cs="Times New Roman"/>
                <w:sz w:val="21"/>
                <w:szCs w:val="21"/>
              </w:rPr>
              <w:t>-</w:t>
            </w:r>
            <w:r w:rsidRPr="00663BEF">
              <w:rPr>
                <w:rFonts w:ascii="Times New Roman" w:hAnsi="Times New Roman" w:cs="Times New Roman"/>
                <w:sz w:val="21"/>
                <w:szCs w:val="21"/>
                <w:lang w:val="en-US"/>
              </w:rPr>
              <w:t>I</w:t>
            </w:r>
            <w:r w:rsidRPr="00663BEF">
              <w:rPr>
                <w:rFonts w:ascii="Times New Roman" w:hAnsi="Times New Roman" w:cs="Times New Roman"/>
                <w:sz w:val="21"/>
                <w:szCs w:val="21"/>
              </w:rPr>
              <w:t xml:space="preserve"> с помощью флуоресцентного иммуноанализа. </w:t>
            </w:r>
          </w:p>
          <w:p w:rsidR="00732640" w:rsidRPr="00663BEF" w:rsidRDefault="00732640" w:rsidP="00732640">
            <w:pPr>
              <w:pStyle w:val="a4"/>
              <w:jc w:val="both"/>
              <w:rPr>
                <w:rFonts w:ascii="Times New Roman" w:hAnsi="Times New Roman" w:cs="Times New Roman"/>
                <w:sz w:val="21"/>
                <w:szCs w:val="21"/>
              </w:rPr>
            </w:pPr>
            <w:r w:rsidRPr="00663BEF">
              <w:rPr>
                <w:rFonts w:ascii="Times New Roman" w:hAnsi="Times New Roman" w:cs="Times New Roman"/>
                <w:sz w:val="21"/>
                <w:szCs w:val="21"/>
              </w:rPr>
              <w:t>Только для диагностики invitro. Только для профессионального использования.</w:t>
            </w:r>
          </w:p>
          <w:p w:rsidR="00732640" w:rsidRPr="00663BEF" w:rsidRDefault="00732640" w:rsidP="00732640">
            <w:pPr>
              <w:pStyle w:val="a4"/>
              <w:jc w:val="both"/>
              <w:rPr>
                <w:rFonts w:ascii="Times New Roman" w:hAnsi="Times New Roman" w:cs="Times New Roman"/>
                <w:sz w:val="21"/>
                <w:szCs w:val="21"/>
                <w:u w:val="single"/>
              </w:rPr>
            </w:pPr>
            <w:r w:rsidRPr="00663BEF">
              <w:rPr>
                <w:rFonts w:ascii="Times New Roman" w:hAnsi="Times New Roman" w:cs="Times New Roman"/>
                <w:sz w:val="21"/>
                <w:szCs w:val="21"/>
                <w:u w:val="single"/>
              </w:rPr>
              <w:t xml:space="preserve">Компоненты </w:t>
            </w:r>
          </w:p>
          <w:p w:rsidR="00732640" w:rsidRPr="00663BEF" w:rsidRDefault="00732640" w:rsidP="00732640">
            <w:pPr>
              <w:pStyle w:val="a4"/>
              <w:jc w:val="both"/>
              <w:rPr>
                <w:rFonts w:ascii="Times New Roman" w:hAnsi="Times New Roman" w:cs="Times New Roman"/>
                <w:sz w:val="21"/>
                <w:szCs w:val="21"/>
              </w:rPr>
            </w:pPr>
            <w:r w:rsidRPr="00663BEF">
              <w:rPr>
                <w:rFonts w:ascii="Times New Roman" w:hAnsi="Times New Roman" w:cs="Times New Roman"/>
                <w:sz w:val="21"/>
                <w:szCs w:val="21"/>
              </w:rPr>
              <w:t>1. Тестовый картридж 25 тестов / комплект</w:t>
            </w:r>
            <w:r w:rsidR="003679A6">
              <w:rPr>
                <w:rFonts w:ascii="Times New Roman" w:hAnsi="Times New Roman" w:cs="Times New Roman"/>
                <w:sz w:val="21"/>
                <w:szCs w:val="21"/>
              </w:rPr>
              <w:t>.</w:t>
            </w:r>
            <w:r w:rsidRPr="00663BEF">
              <w:rPr>
                <w:rFonts w:ascii="Times New Roman" w:hAnsi="Times New Roman" w:cs="Times New Roman"/>
                <w:sz w:val="21"/>
                <w:szCs w:val="21"/>
              </w:rPr>
              <w:t xml:space="preserve"> `</w:t>
            </w:r>
          </w:p>
          <w:p w:rsidR="00732640" w:rsidRPr="00663BEF" w:rsidRDefault="00732640" w:rsidP="00732640">
            <w:pPr>
              <w:pStyle w:val="a4"/>
              <w:jc w:val="both"/>
              <w:rPr>
                <w:rFonts w:ascii="Times New Roman" w:hAnsi="Times New Roman" w:cs="Times New Roman"/>
                <w:sz w:val="21"/>
                <w:szCs w:val="21"/>
              </w:rPr>
            </w:pPr>
            <w:r w:rsidRPr="00663BEF">
              <w:rPr>
                <w:rFonts w:ascii="Times New Roman" w:hAnsi="Times New Roman" w:cs="Times New Roman"/>
                <w:sz w:val="21"/>
                <w:szCs w:val="21"/>
              </w:rPr>
              <w:t xml:space="preserve">2. Буфер для детектирования 25 пробирок / набор. </w:t>
            </w:r>
          </w:p>
          <w:p w:rsidR="00732640" w:rsidRPr="00663BEF" w:rsidRDefault="00732640" w:rsidP="00732640">
            <w:pPr>
              <w:pStyle w:val="a4"/>
              <w:jc w:val="both"/>
              <w:rPr>
                <w:rFonts w:ascii="Times New Roman" w:hAnsi="Times New Roman" w:cs="Times New Roman"/>
                <w:sz w:val="21"/>
                <w:szCs w:val="21"/>
              </w:rPr>
            </w:pPr>
            <w:r w:rsidRPr="00663BEF">
              <w:rPr>
                <w:rFonts w:ascii="Times New Roman" w:hAnsi="Times New Roman" w:cs="Times New Roman"/>
                <w:sz w:val="21"/>
                <w:szCs w:val="21"/>
              </w:rPr>
              <w:t xml:space="preserve">3. SD-карта 1 шт. / Комплект </w:t>
            </w:r>
          </w:p>
          <w:p w:rsidR="00732640" w:rsidRPr="00663BEF" w:rsidRDefault="00732640" w:rsidP="00732640">
            <w:pPr>
              <w:pStyle w:val="a4"/>
              <w:jc w:val="both"/>
              <w:rPr>
                <w:rFonts w:ascii="Times New Roman" w:hAnsi="Times New Roman" w:cs="Times New Roman"/>
                <w:sz w:val="21"/>
                <w:szCs w:val="21"/>
                <w:u w:val="single"/>
              </w:rPr>
            </w:pPr>
            <w:r w:rsidRPr="00663BEF">
              <w:rPr>
                <w:rFonts w:ascii="Times New Roman" w:hAnsi="Times New Roman" w:cs="Times New Roman"/>
                <w:sz w:val="21"/>
                <w:szCs w:val="21"/>
              </w:rPr>
              <w:t>4. Инструкция по эксплуатации 1 экземпляр / комплект</w:t>
            </w:r>
          </w:p>
          <w:p w:rsidR="00732640" w:rsidRPr="00663BEF" w:rsidRDefault="00CF7ED6" w:rsidP="00732640">
            <w:pPr>
              <w:pStyle w:val="a4"/>
              <w:jc w:val="both"/>
              <w:rPr>
                <w:rFonts w:ascii="Times New Roman" w:hAnsi="Times New Roman" w:cs="Times New Roman"/>
                <w:sz w:val="21"/>
                <w:szCs w:val="21"/>
              </w:rPr>
            </w:pPr>
            <w:r>
              <w:rPr>
                <w:rFonts w:ascii="Times New Roman" w:hAnsi="Times New Roman" w:cs="Times New Roman"/>
                <w:sz w:val="21"/>
                <w:szCs w:val="21"/>
              </w:rPr>
              <w:t>Хранятся</w:t>
            </w:r>
            <w:r w:rsidR="00732640" w:rsidRPr="00663BEF">
              <w:rPr>
                <w:rFonts w:ascii="Times New Roman" w:hAnsi="Times New Roman" w:cs="Times New Roman"/>
                <w:sz w:val="21"/>
                <w:szCs w:val="21"/>
              </w:rPr>
              <w:t xml:space="preserve"> </w:t>
            </w:r>
            <w:proofErr w:type="gramStart"/>
            <w:r w:rsidR="00732640" w:rsidRPr="00663BEF">
              <w:rPr>
                <w:rFonts w:ascii="Times New Roman" w:hAnsi="Times New Roman" w:cs="Times New Roman"/>
                <w:sz w:val="21"/>
                <w:szCs w:val="21"/>
              </w:rPr>
              <w:t>буфер</w:t>
            </w:r>
            <w:r>
              <w:rPr>
                <w:rFonts w:ascii="Times New Roman" w:hAnsi="Times New Roman" w:cs="Times New Roman"/>
                <w:sz w:val="21"/>
                <w:szCs w:val="21"/>
              </w:rPr>
              <w:t>е</w:t>
            </w:r>
            <w:proofErr w:type="gramEnd"/>
            <w:r w:rsidR="00732640" w:rsidRPr="00663BEF">
              <w:rPr>
                <w:rFonts w:ascii="Times New Roman" w:hAnsi="Times New Roman" w:cs="Times New Roman"/>
                <w:sz w:val="21"/>
                <w:szCs w:val="21"/>
              </w:rPr>
              <w:t xml:space="preserve"> обнаружения при температуре 2-30 </w:t>
            </w:r>
            <w:r w:rsidR="00732640" w:rsidRPr="00663BEF">
              <w:rPr>
                <w:rFonts w:ascii="Cambria Math" w:hAnsi="Cambria Math" w:cs="Times New Roman"/>
                <w:sz w:val="21"/>
                <w:szCs w:val="21"/>
              </w:rPr>
              <w:t>℃</w:t>
            </w:r>
            <w:r w:rsidR="00732640" w:rsidRPr="00663BEF">
              <w:rPr>
                <w:rFonts w:ascii="Times New Roman" w:hAnsi="Times New Roman" w:cs="Times New Roman"/>
                <w:sz w:val="21"/>
                <w:szCs w:val="21"/>
              </w:rPr>
              <w:t>, срок хранения 24 месяца.</w:t>
            </w:r>
          </w:p>
          <w:p w:rsidR="00732640" w:rsidRPr="00663BEF" w:rsidRDefault="00CF7ED6" w:rsidP="00732640">
            <w:pPr>
              <w:pStyle w:val="a4"/>
              <w:jc w:val="both"/>
              <w:rPr>
                <w:rFonts w:ascii="Times New Roman" w:hAnsi="Times New Roman" w:cs="Times New Roman"/>
                <w:sz w:val="21"/>
                <w:szCs w:val="21"/>
              </w:rPr>
            </w:pPr>
            <w:r>
              <w:rPr>
                <w:rFonts w:ascii="Times New Roman" w:hAnsi="Times New Roman" w:cs="Times New Roman"/>
                <w:sz w:val="21"/>
                <w:szCs w:val="21"/>
              </w:rPr>
              <w:t>Хранятся</w:t>
            </w:r>
            <w:r w:rsidR="00732640" w:rsidRPr="00663BEF">
              <w:rPr>
                <w:rFonts w:ascii="Times New Roman" w:hAnsi="Times New Roman" w:cs="Times New Roman"/>
                <w:sz w:val="21"/>
                <w:szCs w:val="21"/>
              </w:rPr>
              <w:t xml:space="preserve"> тестовый картридж при температуре 2-30 </w:t>
            </w:r>
            <w:r w:rsidR="00732640" w:rsidRPr="00663BEF">
              <w:rPr>
                <w:rFonts w:ascii="Cambria Math" w:hAnsi="Cambria Math" w:cs="Times New Roman"/>
                <w:sz w:val="21"/>
                <w:szCs w:val="21"/>
              </w:rPr>
              <w:t>℃</w:t>
            </w:r>
            <w:r w:rsidR="00732640" w:rsidRPr="00663BEF">
              <w:rPr>
                <w:rFonts w:ascii="Times New Roman" w:hAnsi="Times New Roman" w:cs="Times New Roman"/>
                <w:sz w:val="21"/>
                <w:szCs w:val="21"/>
              </w:rPr>
              <w:t xml:space="preserve">, срок годности 24 месяца. </w:t>
            </w:r>
          </w:p>
          <w:p w:rsidR="00732640" w:rsidRPr="00663BEF" w:rsidRDefault="00732640" w:rsidP="00732640">
            <w:pPr>
              <w:pStyle w:val="a4"/>
              <w:jc w:val="both"/>
              <w:rPr>
                <w:rFonts w:ascii="Times New Roman" w:hAnsi="Times New Roman" w:cs="Times New Roman"/>
                <w:sz w:val="21"/>
                <w:szCs w:val="21"/>
              </w:rPr>
            </w:pPr>
            <w:r w:rsidRPr="00663BEF">
              <w:rPr>
                <w:rFonts w:ascii="Times New Roman" w:hAnsi="Times New Roman" w:cs="Times New Roman"/>
                <w:sz w:val="21"/>
                <w:szCs w:val="21"/>
              </w:rPr>
              <w:t xml:space="preserve">Тестовый </w:t>
            </w:r>
            <w:r w:rsidR="00CF7ED6">
              <w:rPr>
                <w:rFonts w:ascii="Times New Roman" w:hAnsi="Times New Roman" w:cs="Times New Roman"/>
                <w:sz w:val="21"/>
                <w:szCs w:val="21"/>
              </w:rPr>
              <w:t>картридж используется</w:t>
            </w:r>
            <w:r w:rsidRPr="00663BEF">
              <w:rPr>
                <w:rFonts w:ascii="Times New Roman" w:hAnsi="Times New Roman" w:cs="Times New Roman"/>
                <w:sz w:val="21"/>
                <w:szCs w:val="21"/>
              </w:rPr>
              <w:t xml:space="preserve"> в течение 30 минут после открытия пакета.</w:t>
            </w:r>
          </w:p>
          <w:p w:rsidR="00782FCC" w:rsidRPr="00663BEF" w:rsidRDefault="00732640" w:rsidP="00732640">
            <w:pPr>
              <w:pStyle w:val="a6"/>
              <w:tabs>
                <w:tab w:val="num" w:pos="1260"/>
              </w:tabs>
              <w:jc w:val="both"/>
              <w:rPr>
                <w:sz w:val="21"/>
                <w:szCs w:val="21"/>
              </w:rPr>
            </w:pPr>
            <w:r w:rsidRPr="00663BEF">
              <w:rPr>
                <w:sz w:val="21"/>
                <w:szCs w:val="21"/>
              </w:rPr>
              <w:lastRenderedPageBreak/>
              <w:t>с помощью флуоресцентногоиммуноанализа.</w:t>
            </w:r>
          </w:p>
        </w:tc>
      </w:tr>
      <w:tr w:rsidR="00661B72" w:rsidRPr="00880C9D" w:rsidTr="00227053">
        <w:tc>
          <w:tcPr>
            <w:tcW w:w="895" w:type="dxa"/>
          </w:tcPr>
          <w:p w:rsidR="00661B72" w:rsidRPr="00170BCD" w:rsidRDefault="00661B72" w:rsidP="00C66005">
            <w:pPr>
              <w:jc w:val="center"/>
              <w:rPr>
                <w:b/>
              </w:rPr>
            </w:pPr>
            <w:r>
              <w:rPr>
                <w:b/>
              </w:rPr>
              <w:lastRenderedPageBreak/>
              <w:t>11</w:t>
            </w:r>
          </w:p>
        </w:tc>
        <w:tc>
          <w:tcPr>
            <w:tcW w:w="4296" w:type="dxa"/>
          </w:tcPr>
          <w:p w:rsidR="00661B72" w:rsidRPr="00E20867" w:rsidRDefault="009665A3" w:rsidP="00005EA8">
            <w:pPr>
              <w:rPr>
                <w:b/>
                <w:sz w:val="21"/>
                <w:szCs w:val="21"/>
              </w:rPr>
            </w:pPr>
            <w:r w:rsidRPr="00E20867">
              <w:rPr>
                <w:rFonts w:eastAsiaTheme="minorHAnsi"/>
                <w:b/>
                <w:color w:val="000000"/>
                <w:lang w:eastAsia="en-US"/>
              </w:rPr>
              <w:t>Тропанин</w:t>
            </w:r>
          </w:p>
        </w:tc>
        <w:tc>
          <w:tcPr>
            <w:tcW w:w="9595" w:type="dxa"/>
          </w:tcPr>
          <w:p w:rsidR="00732640" w:rsidRPr="00663BEF" w:rsidRDefault="00732640" w:rsidP="00732640">
            <w:pPr>
              <w:pStyle w:val="a4"/>
              <w:jc w:val="both"/>
              <w:rPr>
                <w:rFonts w:ascii="Times New Roman" w:hAnsi="Times New Roman" w:cs="Times New Roman"/>
                <w:sz w:val="21"/>
                <w:szCs w:val="21"/>
              </w:rPr>
            </w:pPr>
            <w:r w:rsidRPr="00663BEF">
              <w:rPr>
                <w:rFonts w:ascii="Times New Roman" w:hAnsi="Times New Roman" w:cs="Times New Roman"/>
                <w:sz w:val="21"/>
                <w:szCs w:val="21"/>
              </w:rPr>
              <w:t xml:space="preserve">Быстрый количественный тест </w:t>
            </w:r>
            <w:proofErr w:type="spellStart"/>
            <w:r w:rsidRPr="00663BEF">
              <w:rPr>
                <w:rFonts w:ascii="Times New Roman" w:hAnsi="Times New Roman" w:cs="Times New Roman"/>
                <w:sz w:val="21"/>
                <w:szCs w:val="21"/>
                <w:lang w:val="en-US"/>
              </w:rPr>
              <w:t>cTnI</w:t>
            </w:r>
            <w:proofErr w:type="spellEnd"/>
            <w:r w:rsidRPr="00663BEF">
              <w:rPr>
                <w:rFonts w:ascii="Times New Roman" w:hAnsi="Times New Roman" w:cs="Times New Roman"/>
                <w:sz w:val="21"/>
                <w:szCs w:val="21"/>
              </w:rPr>
              <w:t>Biotime-</w:t>
            </w:r>
            <w:r w:rsidRPr="00663BEF">
              <w:rPr>
                <w:rFonts w:ascii="Times New Roman" w:hAnsi="Times New Roman" w:cs="Times New Roman"/>
                <w:sz w:val="21"/>
                <w:szCs w:val="21"/>
                <w:lang w:val="en-US"/>
              </w:rPr>
              <w:t>YG</w:t>
            </w:r>
            <w:r w:rsidRPr="00663BEF">
              <w:rPr>
                <w:rFonts w:ascii="Times New Roman" w:hAnsi="Times New Roman" w:cs="Times New Roman"/>
                <w:sz w:val="21"/>
                <w:szCs w:val="21"/>
              </w:rPr>
              <w:t>-</w:t>
            </w:r>
            <w:r w:rsidRPr="00663BEF">
              <w:rPr>
                <w:rFonts w:ascii="Times New Roman" w:hAnsi="Times New Roman" w:cs="Times New Roman"/>
                <w:sz w:val="21"/>
                <w:szCs w:val="21"/>
                <w:lang w:val="en-US"/>
              </w:rPr>
              <w:t>I</w:t>
            </w:r>
            <w:r w:rsidRPr="00663BEF">
              <w:rPr>
                <w:rFonts w:ascii="Times New Roman" w:hAnsi="Times New Roman" w:cs="Times New Roman"/>
                <w:sz w:val="21"/>
                <w:szCs w:val="21"/>
              </w:rPr>
              <w:t xml:space="preserve"> предназначен для количественного определения концентрации </w:t>
            </w:r>
            <w:proofErr w:type="spellStart"/>
            <w:r w:rsidRPr="00663BEF">
              <w:rPr>
                <w:rFonts w:ascii="Times New Roman" w:hAnsi="Times New Roman" w:cs="Times New Roman"/>
                <w:sz w:val="21"/>
                <w:szCs w:val="21"/>
                <w:lang w:val="en-US"/>
              </w:rPr>
              <w:t>cTnI</w:t>
            </w:r>
            <w:proofErr w:type="spellEnd"/>
            <w:r w:rsidRPr="00663BEF">
              <w:rPr>
                <w:rFonts w:ascii="Times New Roman" w:hAnsi="Times New Roman" w:cs="Times New Roman"/>
                <w:sz w:val="21"/>
                <w:szCs w:val="21"/>
              </w:rPr>
              <w:t xml:space="preserve"> в цельной крови или плазме человека на анализаторах  Biotime-</w:t>
            </w:r>
            <w:r w:rsidRPr="00663BEF">
              <w:rPr>
                <w:rFonts w:ascii="Times New Roman" w:hAnsi="Times New Roman" w:cs="Times New Roman"/>
                <w:sz w:val="21"/>
                <w:szCs w:val="21"/>
                <w:lang w:val="en-US"/>
              </w:rPr>
              <w:t>YG</w:t>
            </w:r>
            <w:r w:rsidRPr="00663BEF">
              <w:rPr>
                <w:rFonts w:ascii="Times New Roman" w:hAnsi="Times New Roman" w:cs="Times New Roman"/>
                <w:sz w:val="21"/>
                <w:szCs w:val="21"/>
              </w:rPr>
              <w:t>-</w:t>
            </w:r>
            <w:r w:rsidRPr="00663BEF">
              <w:rPr>
                <w:rFonts w:ascii="Times New Roman" w:hAnsi="Times New Roman" w:cs="Times New Roman"/>
                <w:sz w:val="21"/>
                <w:szCs w:val="21"/>
                <w:lang w:val="en-US"/>
              </w:rPr>
              <w:t>I</w:t>
            </w:r>
            <w:r w:rsidRPr="00663BEF">
              <w:rPr>
                <w:rFonts w:ascii="Times New Roman" w:hAnsi="Times New Roman" w:cs="Times New Roman"/>
                <w:sz w:val="21"/>
                <w:szCs w:val="21"/>
              </w:rPr>
              <w:t xml:space="preserve"> с помощью флуоресцентного иммуноанализа. </w:t>
            </w:r>
          </w:p>
          <w:p w:rsidR="00732640" w:rsidRPr="00663BEF" w:rsidRDefault="00732640" w:rsidP="00732640">
            <w:pPr>
              <w:pStyle w:val="a4"/>
              <w:jc w:val="both"/>
              <w:rPr>
                <w:rFonts w:ascii="Times New Roman" w:hAnsi="Times New Roman" w:cs="Times New Roman"/>
                <w:sz w:val="21"/>
                <w:szCs w:val="21"/>
              </w:rPr>
            </w:pPr>
            <w:r w:rsidRPr="00663BEF">
              <w:rPr>
                <w:rFonts w:ascii="Times New Roman" w:hAnsi="Times New Roman" w:cs="Times New Roman"/>
                <w:sz w:val="21"/>
                <w:szCs w:val="21"/>
              </w:rPr>
              <w:t>Только для диагностики invitro. Только для профессионального использования.</w:t>
            </w:r>
          </w:p>
          <w:p w:rsidR="00732640" w:rsidRPr="00663BEF" w:rsidRDefault="00732640" w:rsidP="00732640">
            <w:pPr>
              <w:pStyle w:val="a4"/>
              <w:jc w:val="both"/>
              <w:rPr>
                <w:rFonts w:ascii="Times New Roman" w:hAnsi="Times New Roman" w:cs="Times New Roman"/>
                <w:sz w:val="21"/>
                <w:szCs w:val="21"/>
                <w:u w:val="single"/>
              </w:rPr>
            </w:pPr>
            <w:r w:rsidRPr="00663BEF">
              <w:rPr>
                <w:rFonts w:ascii="Times New Roman" w:hAnsi="Times New Roman" w:cs="Times New Roman"/>
                <w:sz w:val="21"/>
                <w:szCs w:val="21"/>
                <w:u w:val="single"/>
              </w:rPr>
              <w:t xml:space="preserve">Компоненты </w:t>
            </w:r>
          </w:p>
          <w:p w:rsidR="00732640" w:rsidRPr="00663BEF" w:rsidRDefault="00732640" w:rsidP="00732640">
            <w:pPr>
              <w:pStyle w:val="a4"/>
              <w:jc w:val="both"/>
              <w:rPr>
                <w:rFonts w:ascii="Times New Roman" w:hAnsi="Times New Roman" w:cs="Times New Roman"/>
                <w:sz w:val="21"/>
                <w:szCs w:val="21"/>
              </w:rPr>
            </w:pPr>
            <w:r w:rsidRPr="00663BEF">
              <w:rPr>
                <w:rFonts w:ascii="Times New Roman" w:hAnsi="Times New Roman" w:cs="Times New Roman"/>
                <w:sz w:val="21"/>
                <w:szCs w:val="21"/>
              </w:rPr>
              <w:t>1. Тестовый картридж 25 тестов / комплект</w:t>
            </w:r>
          </w:p>
          <w:p w:rsidR="00732640" w:rsidRPr="00663BEF" w:rsidRDefault="00732640" w:rsidP="00732640">
            <w:pPr>
              <w:pStyle w:val="a4"/>
              <w:jc w:val="both"/>
              <w:rPr>
                <w:rFonts w:ascii="Times New Roman" w:hAnsi="Times New Roman" w:cs="Times New Roman"/>
                <w:sz w:val="21"/>
                <w:szCs w:val="21"/>
              </w:rPr>
            </w:pPr>
            <w:r w:rsidRPr="00663BEF">
              <w:rPr>
                <w:rFonts w:ascii="Times New Roman" w:hAnsi="Times New Roman" w:cs="Times New Roman"/>
                <w:sz w:val="21"/>
                <w:szCs w:val="21"/>
              </w:rPr>
              <w:t xml:space="preserve">2. Буфер для детектирования 25 пробирок / набор. </w:t>
            </w:r>
          </w:p>
          <w:p w:rsidR="00732640" w:rsidRPr="00663BEF" w:rsidRDefault="00732640" w:rsidP="00732640">
            <w:pPr>
              <w:pStyle w:val="a4"/>
              <w:jc w:val="both"/>
              <w:rPr>
                <w:rFonts w:ascii="Times New Roman" w:hAnsi="Times New Roman" w:cs="Times New Roman"/>
                <w:sz w:val="21"/>
                <w:szCs w:val="21"/>
              </w:rPr>
            </w:pPr>
            <w:r w:rsidRPr="00663BEF">
              <w:rPr>
                <w:rFonts w:ascii="Times New Roman" w:hAnsi="Times New Roman" w:cs="Times New Roman"/>
                <w:sz w:val="21"/>
                <w:szCs w:val="21"/>
              </w:rPr>
              <w:t>3. SD-карта 1 шт. / Комплект</w:t>
            </w:r>
          </w:p>
          <w:p w:rsidR="00732640" w:rsidRPr="00663BEF" w:rsidRDefault="00732640" w:rsidP="00732640">
            <w:pPr>
              <w:pStyle w:val="a4"/>
              <w:jc w:val="both"/>
              <w:rPr>
                <w:rFonts w:ascii="Times New Roman" w:hAnsi="Times New Roman" w:cs="Times New Roman"/>
                <w:sz w:val="21"/>
                <w:szCs w:val="21"/>
                <w:u w:val="single"/>
              </w:rPr>
            </w:pPr>
            <w:r w:rsidRPr="00663BEF">
              <w:rPr>
                <w:rFonts w:ascii="Times New Roman" w:hAnsi="Times New Roman" w:cs="Times New Roman"/>
                <w:sz w:val="21"/>
                <w:szCs w:val="21"/>
              </w:rPr>
              <w:t>4. Инструкция по эксплуатации 1 экземпляр / комплект</w:t>
            </w:r>
          </w:p>
          <w:p w:rsidR="00732640" w:rsidRPr="00663BEF" w:rsidRDefault="00FB74C7" w:rsidP="00732640">
            <w:pPr>
              <w:pStyle w:val="a4"/>
              <w:jc w:val="both"/>
              <w:rPr>
                <w:rFonts w:ascii="Times New Roman" w:hAnsi="Times New Roman" w:cs="Times New Roman"/>
                <w:sz w:val="21"/>
                <w:szCs w:val="21"/>
              </w:rPr>
            </w:pPr>
            <w:r>
              <w:rPr>
                <w:rFonts w:ascii="Times New Roman" w:hAnsi="Times New Roman" w:cs="Times New Roman"/>
                <w:sz w:val="21"/>
                <w:szCs w:val="21"/>
              </w:rPr>
              <w:t>Хранятся</w:t>
            </w:r>
            <w:r w:rsidR="00732640" w:rsidRPr="00663BEF">
              <w:rPr>
                <w:rFonts w:ascii="Times New Roman" w:hAnsi="Times New Roman" w:cs="Times New Roman"/>
                <w:sz w:val="21"/>
                <w:szCs w:val="21"/>
              </w:rPr>
              <w:t xml:space="preserve"> буфер обнаружения при температуре 2-30 </w:t>
            </w:r>
            <w:r w:rsidR="00732640" w:rsidRPr="00663BEF">
              <w:rPr>
                <w:rFonts w:ascii="Cambria Math" w:hAnsi="Cambria Math" w:cs="Times New Roman"/>
                <w:sz w:val="21"/>
                <w:szCs w:val="21"/>
              </w:rPr>
              <w:t>℃</w:t>
            </w:r>
            <w:r w:rsidR="00732640" w:rsidRPr="00663BEF">
              <w:rPr>
                <w:rFonts w:ascii="Times New Roman" w:hAnsi="Times New Roman" w:cs="Times New Roman"/>
                <w:sz w:val="21"/>
                <w:szCs w:val="21"/>
              </w:rPr>
              <w:t>, срок хранения 24 месяца.</w:t>
            </w:r>
          </w:p>
          <w:p w:rsidR="00732640" w:rsidRPr="00663BEF" w:rsidRDefault="00FB74C7" w:rsidP="00732640">
            <w:pPr>
              <w:pStyle w:val="a4"/>
              <w:jc w:val="both"/>
              <w:rPr>
                <w:rFonts w:ascii="Times New Roman" w:hAnsi="Times New Roman" w:cs="Times New Roman"/>
                <w:sz w:val="21"/>
                <w:szCs w:val="21"/>
              </w:rPr>
            </w:pPr>
            <w:r>
              <w:rPr>
                <w:rFonts w:ascii="Times New Roman" w:hAnsi="Times New Roman" w:cs="Times New Roman"/>
                <w:sz w:val="21"/>
                <w:szCs w:val="21"/>
              </w:rPr>
              <w:t>Хранятся</w:t>
            </w:r>
            <w:r w:rsidR="00732640" w:rsidRPr="00663BEF">
              <w:rPr>
                <w:rFonts w:ascii="Times New Roman" w:hAnsi="Times New Roman" w:cs="Times New Roman"/>
                <w:sz w:val="21"/>
                <w:szCs w:val="21"/>
              </w:rPr>
              <w:t xml:space="preserve"> тестовый картридж при температуре 2-30 </w:t>
            </w:r>
            <w:r w:rsidR="00732640" w:rsidRPr="00663BEF">
              <w:rPr>
                <w:rFonts w:ascii="Cambria Math" w:hAnsi="Cambria Math" w:cs="Times New Roman"/>
                <w:sz w:val="21"/>
                <w:szCs w:val="21"/>
              </w:rPr>
              <w:t>℃</w:t>
            </w:r>
            <w:r w:rsidR="00732640" w:rsidRPr="00663BEF">
              <w:rPr>
                <w:rFonts w:ascii="Times New Roman" w:hAnsi="Times New Roman" w:cs="Times New Roman"/>
                <w:sz w:val="21"/>
                <w:szCs w:val="21"/>
              </w:rPr>
              <w:t xml:space="preserve">, срок годности 24 месяца. </w:t>
            </w:r>
          </w:p>
          <w:p w:rsidR="00732640" w:rsidRPr="00663BEF" w:rsidRDefault="00732640" w:rsidP="00732640">
            <w:pPr>
              <w:pStyle w:val="a4"/>
              <w:jc w:val="both"/>
              <w:rPr>
                <w:rFonts w:ascii="Times New Roman" w:hAnsi="Times New Roman" w:cs="Times New Roman"/>
                <w:sz w:val="21"/>
                <w:szCs w:val="21"/>
              </w:rPr>
            </w:pPr>
            <w:r w:rsidRPr="00663BEF">
              <w:rPr>
                <w:rFonts w:ascii="Times New Roman" w:hAnsi="Times New Roman" w:cs="Times New Roman"/>
                <w:sz w:val="21"/>
                <w:szCs w:val="21"/>
              </w:rPr>
              <w:t>Тестов</w:t>
            </w:r>
            <w:r w:rsidR="00FB74C7">
              <w:rPr>
                <w:rFonts w:ascii="Times New Roman" w:hAnsi="Times New Roman" w:cs="Times New Roman"/>
                <w:sz w:val="21"/>
                <w:szCs w:val="21"/>
              </w:rPr>
              <w:t>ый картридж используется</w:t>
            </w:r>
            <w:r w:rsidRPr="00663BEF">
              <w:rPr>
                <w:rFonts w:ascii="Times New Roman" w:hAnsi="Times New Roman" w:cs="Times New Roman"/>
                <w:sz w:val="21"/>
                <w:szCs w:val="21"/>
              </w:rPr>
              <w:t xml:space="preserve"> в течение 30 минут после открытия пакета.</w:t>
            </w:r>
          </w:p>
          <w:p w:rsidR="00661B72" w:rsidRPr="00663BEF" w:rsidRDefault="00732640" w:rsidP="00732640">
            <w:pPr>
              <w:rPr>
                <w:sz w:val="21"/>
                <w:szCs w:val="21"/>
              </w:rPr>
            </w:pPr>
            <w:r w:rsidRPr="00663BEF">
              <w:rPr>
                <w:sz w:val="21"/>
                <w:szCs w:val="21"/>
              </w:rPr>
              <w:t>с помощью флуоресцентногоиммуноанализа.</w:t>
            </w:r>
          </w:p>
        </w:tc>
      </w:tr>
      <w:tr w:rsidR="00B246F0" w:rsidRPr="00880C9D" w:rsidTr="009665A3">
        <w:trPr>
          <w:trHeight w:val="850"/>
        </w:trPr>
        <w:tc>
          <w:tcPr>
            <w:tcW w:w="895" w:type="dxa"/>
          </w:tcPr>
          <w:p w:rsidR="00B246F0" w:rsidRDefault="00B246F0" w:rsidP="00C66005">
            <w:pPr>
              <w:jc w:val="center"/>
              <w:rPr>
                <w:b/>
              </w:rPr>
            </w:pPr>
            <w:r>
              <w:rPr>
                <w:b/>
              </w:rPr>
              <w:t>1</w:t>
            </w:r>
            <w:r w:rsidR="009E4C64">
              <w:rPr>
                <w:b/>
              </w:rPr>
              <w:t>2</w:t>
            </w:r>
          </w:p>
        </w:tc>
        <w:tc>
          <w:tcPr>
            <w:tcW w:w="4296" w:type="dxa"/>
          </w:tcPr>
          <w:p w:rsidR="00B246F0" w:rsidRPr="00E20867" w:rsidRDefault="00B246F0" w:rsidP="00747455">
            <w:pPr>
              <w:rPr>
                <w:rFonts w:eastAsiaTheme="minorHAnsi"/>
                <w:b/>
                <w:color w:val="000000"/>
                <w:lang w:eastAsia="en-US"/>
              </w:rPr>
            </w:pPr>
            <w:r w:rsidRPr="00B246F0">
              <w:rPr>
                <w:rFonts w:eastAsiaTheme="minorHAnsi"/>
                <w:b/>
                <w:color w:val="000000"/>
                <w:lang w:eastAsia="en-US"/>
              </w:rPr>
              <w:t>Матрица гемостатическая</w:t>
            </w:r>
          </w:p>
        </w:tc>
        <w:tc>
          <w:tcPr>
            <w:tcW w:w="9595" w:type="dxa"/>
          </w:tcPr>
          <w:p w:rsidR="00B246F0" w:rsidRDefault="00B246F0" w:rsidP="00B246F0">
            <w:pPr>
              <w:pStyle w:val="Default"/>
            </w:pPr>
          </w:p>
          <w:tbl>
            <w:tblPr>
              <w:tblW w:w="0" w:type="auto"/>
              <w:tblBorders>
                <w:top w:val="nil"/>
                <w:left w:val="nil"/>
                <w:bottom w:val="nil"/>
                <w:right w:val="nil"/>
              </w:tblBorders>
              <w:tblLook w:val="0000"/>
            </w:tblPr>
            <w:tblGrid>
              <w:gridCol w:w="9379"/>
            </w:tblGrid>
            <w:tr w:rsidR="00B246F0">
              <w:trPr>
                <w:trHeight w:val="1514"/>
              </w:trPr>
              <w:tc>
                <w:tcPr>
                  <w:tcW w:w="0" w:type="auto"/>
                </w:tcPr>
                <w:p w:rsidR="00B246F0" w:rsidRPr="00B246F0" w:rsidRDefault="00B246F0">
                  <w:pPr>
                    <w:pStyle w:val="Default"/>
                    <w:rPr>
                      <w:sz w:val="21"/>
                      <w:szCs w:val="21"/>
                    </w:rPr>
                  </w:pPr>
                  <w:r w:rsidRPr="00B246F0">
                    <w:rPr>
                      <w:sz w:val="21"/>
                      <w:szCs w:val="21"/>
                    </w:rPr>
                    <w:t xml:space="preserve">Гемостатическая матрица. Набор для приготовления стерильной текучей рассасывающейся гемостатической матрицы из свиного желатина, предназначенной для обеспечения гемостаза при наложении на кровоточащую поверхность. Возможность применения при кровотечениях в </w:t>
                  </w:r>
                  <w:proofErr w:type="gramStart"/>
                  <w:r w:rsidRPr="00B246F0">
                    <w:rPr>
                      <w:sz w:val="21"/>
                      <w:szCs w:val="21"/>
                    </w:rPr>
                    <w:t>трудно доступных</w:t>
                  </w:r>
                  <w:proofErr w:type="gramEnd"/>
                  <w:r w:rsidRPr="00B246F0">
                    <w:rPr>
                      <w:sz w:val="21"/>
                      <w:szCs w:val="21"/>
                    </w:rPr>
                    <w:t xml:space="preserve"> местах. Срок рассасывания 4-6 недель. Комплект состоит из двух шприцов объемом 10 мл каждый (в одном из которых желатиновая гемостатическая матрица объемом 6 мл, второй предназначен для переноса жидкости и разведения желатина физиологическим раствором), емкости для физиологического раствора, двух наконечников (один наконечник может быть отрезан до нужной длины; другой - гибкий наконечник с памятью формы). Набор стерильный, для одноразового использования. </w:t>
                  </w:r>
                </w:p>
              </w:tc>
            </w:tr>
          </w:tbl>
          <w:p w:rsidR="00B246F0" w:rsidRPr="00E460CB" w:rsidRDefault="00B246F0" w:rsidP="008E7E08">
            <w:pPr>
              <w:rPr>
                <w:noProof/>
                <w:sz w:val="21"/>
                <w:szCs w:val="21"/>
              </w:rPr>
            </w:pPr>
          </w:p>
        </w:tc>
      </w:tr>
      <w:tr w:rsidR="00CF7ED6" w:rsidRPr="00880C9D" w:rsidTr="009665A3">
        <w:trPr>
          <w:trHeight w:val="850"/>
        </w:trPr>
        <w:tc>
          <w:tcPr>
            <w:tcW w:w="895" w:type="dxa"/>
          </w:tcPr>
          <w:p w:rsidR="00CF7ED6" w:rsidRDefault="00CF7ED6" w:rsidP="00C66005">
            <w:pPr>
              <w:jc w:val="center"/>
              <w:rPr>
                <w:b/>
              </w:rPr>
            </w:pPr>
            <w:r>
              <w:rPr>
                <w:b/>
              </w:rPr>
              <w:t>1</w:t>
            </w:r>
            <w:r w:rsidR="009E4C64">
              <w:rPr>
                <w:b/>
              </w:rPr>
              <w:t>3</w:t>
            </w:r>
          </w:p>
        </w:tc>
        <w:tc>
          <w:tcPr>
            <w:tcW w:w="4296" w:type="dxa"/>
          </w:tcPr>
          <w:p w:rsidR="00CF7ED6" w:rsidRPr="00B246F0" w:rsidRDefault="009E4C64" w:rsidP="00747455">
            <w:pPr>
              <w:rPr>
                <w:rFonts w:eastAsiaTheme="minorHAnsi"/>
                <w:b/>
                <w:color w:val="000000"/>
                <w:lang w:eastAsia="en-US"/>
              </w:rPr>
            </w:pPr>
            <w:r w:rsidRPr="00B246F0">
              <w:rPr>
                <w:rFonts w:eastAsiaTheme="minorHAnsi"/>
                <w:b/>
                <w:color w:val="000000"/>
                <w:lang w:eastAsia="en-US"/>
              </w:rPr>
              <w:t>Матрица гемостатическая с тромбином</w:t>
            </w:r>
          </w:p>
        </w:tc>
        <w:tc>
          <w:tcPr>
            <w:tcW w:w="9595" w:type="dxa"/>
          </w:tcPr>
          <w:p w:rsidR="00CF7ED6" w:rsidRDefault="009E4C64" w:rsidP="009E4C64">
            <w:r w:rsidRPr="009E4C64">
              <w:t xml:space="preserve">Гемостатическая матрица с тромбином. Набор для приготовления стерильной текучей рассасывающейся гемостатической матрицы из свиного желатина, предназначенной для обеспечения гемостаза при наложении на кровоточащую поверхность. Возможность применения при кровотечениях в </w:t>
            </w:r>
            <w:proofErr w:type="gramStart"/>
            <w:r w:rsidRPr="009E4C64">
              <w:t>трудно доступных</w:t>
            </w:r>
            <w:proofErr w:type="gramEnd"/>
            <w:r w:rsidRPr="009E4C64">
              <w:t xml:space="preserve"> местах. Срок рассасывания 4-6 недель. </w:t>
            </w:r>
            <w:proofErr w:type="gramStart"/>
            <w:r w:rsidRPr="009E4C64">
              <w:t>Комплект состоит из двух шприцов объемом 10 мл каждый (в одном - желатиновая гемостатическая матрица объемом 6 мл, второй предназначен для переноса раствора тромбина и разведения им желатина), флакона с лиофилизированным человеческим тромбином (содержащим не менее 2000МЕ), безигольного шприца со стерильной водой объемом 2 мл, адаптера для флакона, емкости для переноса раствора тромбина,  двух наконечников (один наконечник может быть отрезан до</w:t>
            </w:r>
            <w:proofErr w:type="gramEnd"/>
            <w:r w:rsidRPr="009E4C64">
              <w:t xml:space="preserve"> нужной длины; другой - гибкий наконечник с памятью формы). Набор стерильный, для одноразового использования.</w:t>
            </w:r>
            <w:r>
              <w:t xml:space="preserve">          </w:t>
            </w:r>
          </w:p>
        </w:tc>
      </w:tr>
      <w:tr w:rsidR="00CF7ED6" w:rsidRPr="00880C9D" w:rsidTr="009665A3">
        <w:trPr>
          <w:trHeight w:val="850"/>
        </w:trPr>
        <w:tc>
          <w:tcPr>
            <w:tcW w:w="895" w:type="dxa"/>
          </w:tcPr>
          <w:p w:rsidR="00CF7ED6" w:rsidRDefault="00CF7ED6" w:rsidP="00C66005">
            <w:pPr>
              <w:jc w:val="center"/>
              <w:rPr>
                <w:b/>
              </w:rPr>
            </w:pPr>
            <w:r>
              <w:rPr>
                <w:b/>
              </w:rPr>
              <w:t>1</w:t>
            </w:r>
            <w:r w:rsidR="009E4C64">
              <w:rPr>
                <w:b/>
              </w:rPr>
              <w:t>4</w:t>
            </w:r>
          </w:p>
        </w:tc>
        <w:tc>
          <w:tcPr>
            <w:tcW w:w="4296" w:type="dxa"/>
          </w:tcPr>
          <w:p w:rsidR="00CF7ED6" w:rsidRPr="00E20867" w:rsidRDefault="00210C23" w:rsidP="00311DC9">
            <w:pPr>
              <w:rPr>
                <w:b/>
                <w:bCs/>
              </w:rPr>
            </w:pPr>
            <w:r w:rsidRPr="00E20867">
              <w:rPr>
                <w:rFonts w:eastAsiaTheme="minorHAnsi"/>
                <w:b/>
                <w:color w:val="000000"/>
                <w:lang w:eastAsia="en-US"/>
              </w:rPr>
              <w:t>Прямая канюля 50 мм</w:t>
            </w:r>
          </w:p>
        </w:tc>
        <w:tc>
          <w:tcPr>
            <w:tcW w:w="9595" w:type="dxa"/>
          </w:tcPr>
          <w:p w:rsidR="00CF7ED6" w:rsidRPr="00E460CB" w:rsidRDefault="00210C23" w:rsidP="007049F7">
            <w:pPr>
              <w:rPr>
                <w:sz w:val="21"/>
                <w:szCs w:val="21"/>
                <w:u w:val="single"/>
              </w:rPr>
            </w:pPr>
            <w:r w:rsidRPr="00E460CB">
              <w:rPr>
                <w:noProof/>
                <w:sz w:val="21"/>
                <w:szCs w:val="21"/>
              </w:rPr>
              <w:t>Прямая канюля для проведения активного электрода к зоне деструкции с мандреном. Тефлоновая изоляция, прямая канюля 50 мм, 20-21 G, активный кончик 5-10 мм, для Радиочастотного Аппарата-генератора RFG-4.</w:t>
            </w:r>
          </w:p>
        </w:tc>
      </w:tr>
      <w:tr w:rsidR="00210C23" w:rsidRPr="00880C9D" w:rsidTr="009665A3">
        <w:trPr>
          <w:trHeight w:val="850"/>
        </w:trPr>
        <w:tc>
          <w:tcPr>
            <w:tcW w:w="895" w:type="dxa"/>
          </w:tcPr>
          <w:p w:rsidR="00210C23" w:rsidRDefault="009E4C64" w:rsidP="00C66005">
            <w:pPr>
              <w:jc w:val="center"/>
              <w:rPr>
                <w:b/>
              </w:rPr>
            </w:pPr>
            <w:r>
              <w:rPr>
                <w:b/>
              </w:rPr>
              <w:lastRenderedPageBreak/>
              <w:t>15</w:t>
            </w:r>
          </w:p>
        </w:tc>
        <w:tc>
          <w:tcPr>
            <w:tcW w:w="4296" w:type="dxa"/>
          </w:tcPr>
          <w:p w:rsidR="00210C23" w:rsidRPr="00E20867" w:rsidRDefault="00210C23" w:rsidP="000B03F9">
            <w:pPr>
              <w:rPr>
                <w:b/>
                <w:sz w:val="21"/>
                <w:szCs w:val="21"/>
              </w:rPr>
            </w:pPr>
            <w:r w:rsidRPr="00E20867">
              <w:rPr>
                <w:rFonts w:eastAsiaTheme="minorHAnsi"/>
                <w:b/>
                <w:color w:val="000000"/>
                <w:lang w:eastAsia="en-US"/>
              </w:rPr>
              <w:t>Прямая канюля 100 мм</w:t>
            </w:r>
          </w:p>
        </w:tc>
        <w:tc>
          <w:tcPr>
            <w:tcW w:w="9595" w:type="dxa"/>
          </w:tcPr>
          <w:p w:rsidR="00210C23" w:rsidRPr="00E460CB" w:rsidRDefault="00210C23" w:rsidP="007049F7">
            <w:pPr>
              <w:rPr>
                <w:sz w:val="21"/>
                <w:szCs w:val="21"/>
              </w:rPr>
            </w:pPr>
            <w:r w:rsidRPr="00E460CB">
              <w:rPr>
                <w:noProof/>
                <w:sz w:val="21"/>
                <w:szCs w:val="21"/>
              </w:rPr>
              <w:t>Прямая канюля для проведения активного электрода к зоне деструкции с мандреном. Тефлоновая изоляция, прямая канюля 100 мм, 20-21 G, активный кончик 5-10 мм, для Радиочастотного Аппарата-генератора RFG-4</w:t>
            </w:r>
            <w:r w:rsidR="007049F7">
              <w:rPr>
                <w:noProof/>
                <w:sz w:val="21"/>
                <w:szCs w:val="21"/>
              </w:rPr>
              <w:t>.</w:t>
            </w:r>
          </w:p>
        </w:tc>
      </w:tr>
      <w:tr w:rsidR="00210C23" w:rsidRPr="00880C9D" w:rsidTr="009665A3">
        <w:trPr>
          <w:trHeight w:val="850"/>
        </w:trPr>
        <w:tc>
          <w:tcPr>
            <w:tcW w:w="895" w:type="dxa"/>
          </w:tcPr>
          <w:p w:rsidR="00210C23" w:rsidRDefault="00210C23" w:rsidP="00C66005">
            <w:pPr>
              <w:jc w:val="center"/>
              <w:rPr>
                <w:b/>
              </w:rPr>
            </w:pPr>
            <w:r>
              <w:rPr>
                <w:b/>
              </w:rPr>
              <w:t>16</w:t>
            </w:r>
          </w:p>
        </w:tc>
        <w:tc>
          <w:tcPr>
            <w:tcW w:w="4296" w:type="dxa"/>
          </w:tcPr>
          <w:p w:rsidR="00210C23" w:rsidRPr="00E20867" w:rsidRDefault="00210C23" w:rsidP="00AD4ED0">
            <w:pPr>
              <w:rPr>
                <w:b/>
                <w:bCs/>
              </w:rPr>
            </w:pPr>
            <w:r w:rsidRPr="00E20867">
              <w:rPr>
                <w:rFonts w:eastAsiaTheme="minorHAnsi"/>
                <w:b/>
                <w:color w:val="000000"/>
                <w:lang w:eastAsia="en-US"/>
              </w:rPr>
              <w:t>Прямая канюля 150 мм</w:t>
            </w:r>
          </w:p>
        </w:tc>
        <w:tc>
          <w:tcPr>
            <w:tcW w:w="9595" w:type="dxa"/>
          </w:tcPr>
          <w:p w:rsidR="00210C23" w:rsidRPr="00E460CB" w:rsidRDefault="00210C23" w:rsidP="007049F7">
            <w:pPr>
              <w:rPr>
                <w:sz w:val="21"/>
                <w:szCs w:val="21"/>
                <w:u w:val="single"/>
              </w:rPr>
            </w:pPr>
            <w:r w:rsidRPr="00E460CB">
              <w:rPr>
                <w:noProof/>
                <w:sz w:val="21"/>
                <w:szCs w:val="21"/>
              </w:rPr>
              <w:t>Прямая канюля для проведения активного электрода к зоне деструкции с мандреном. Тефлоновая изоляция, прямая канюля 150 мм, 20-21 G, активный кончик 5-10 мм, для Радиочастотного Аппарата-генератора RFG-4</w:t>
            </w:r>
            <w:r w:rsidR="007049F7">
              <w:rPr>
                <w:noProof/>
                <w:sz w:val="21"/>
                <w:szCs w:val="21"/>
              </w:rPr>
              <w:t>.</w:t>
            </w:r>
          </w:p>
        </w:tc>
      </w:tr>
      <w:tr w:rsidR="00210C23" w:rsidRPr="00880C9D" w:rsidTr="009665A3">
        <w:trPr>
          <w:trHeight w:val="850"/>
        </w:trPr>
        <w:tc>
          <w:tcPr>
            <w:tcW w:w="895" w:type="dxa"/>
          </w:tcPr>
          <w:p w:rsidR="00210C23" w:rsidRDefault="00210C23" w:rsidP="00C66005">
            <w:pPr>
              <w:jc w:val="center"/>
              <w:rPr>
                <w:b/>
              </w:rPr>
            </w:pPr>
            <w:r>
              <w:rPr>
                <w:b/>
              </w:rPr>
              <w:t>17</w:t>
            </w:r>
          </w:p>
        </w:tc>
        <w:tc>
          <w:tcPr>
            <w:tcW w:w="4296" w:type="dxa"/>
          </w:tcPr>
          <w:p w:rsidR="00210C23" w:rsidRPr="00F11AE4" w:rsidRDefault="00F11AE4" w:rsidP="008C272F">
            <w:pPr>
              <w:rPr>
                <w:rFonts w:eastAsiaTheme="minorHAnsi"/>
                <w:b/>
                <w:color w:val="000000"/>
                <w:lang w:eastAsia="en-US"/>
              </w:rPr>
            </w:pPr>
            <w:r w:rsidRPr="00F11AE4">
              <w:rPr>
                <w:rFonts w:eastAsiaTheme="minorHAnsi"/>
                <w:b/>
                <w:color w:val="000000"/>
                <w:lang w:eastAsia="en-US"/>
              </w:rPr>
              <w:t xml:space="preserve">Офтальмологический раствор трипановый синий  </w:t>
            </w:r>
          </w:p>
        </w:tc>
        <w:tc>
          <w:tcPr>
            <w:tcW w:w="9595" w:type="dxa"/>
          </w:tcPr>
          <w:p w:rsidR="00F11AE4" w:rsidRPr="00F11AE4" w:rsidRDefault="00F11AE4" w:rsidP="00F11AE4">
            <w:pPr>
              <w:spacing w:line="16" w:lineRule="atLeast"/>
              <w:rPr>
                <w:rFonts w:cs="Calibri"/>
                <w:color w:val="000000"/>
                <w:sz w:val="21"/>
                <w:szCs w:val="21"/>
                <w:shd w:val="clear" w:color="auto" w:fill="FFFFFF"/>
              </w:rPr>
            </w:pPr>
            <w:r w:rsidRPr="00F11AE4">
              <w:rPr>
                <w:rFonts w:eastAsiaTheme="minorHAnsi"/>
                <w:color w:val="000000"/>
                <w:sz w:val="21"/>
                <w:szCs w:val="21"/>
                <w:lang w:eastAsia="en-US"/>
              </w:rPr>
              <w:t>Офтальмологический раствор трипановый синий</w:t>
            </w:r>
            <w:r w:rsidRPr="00F11AE4">
              <w:rPr>
                <w:rFonts w:eastAsiaTheme="minorHAnsi"/>
                <w:b/>
                <w:color w:val="000000"/>
                <w:sz w:val="21"/>
                <w:szCs w:val="21"/>
                <w:lang w:eastAsia="en-US"/>
              </w:rPr>
              <w:t xml:space="preserve">  </w:t>
            </w:r>
            <w:r w:rsidRPr="00F11AE4">
              <w:rPr>
                <w:rFonts w:cs="Calibri"/>
                <w:color w:val="000000"/>
                <w:sz w:val="21"/>
                <w:szCs w:val="21"/>
                <w:shd w:val="clear" w:color="auto" w:fill="FFFFFF"/>
              </w:rPr>
              <w:t xml:space="preserve">представляет собой витальный краситель, используемый для визуализации капсулорексиса во время хирургии катаракты, при отсутствии красного рефлекса (плотная катаракта, узкий зрачок и т.д.). Краситель вводится на </w:t>
            </w:r>
            <w:proofErr w:type="gramStart"/>
            <w:r w:rsidRPr="00F11AE4">
              <w:rPr>
                <w:rFonts w:cs="Calibri"/>
                <w:color w:val="000000"/>
                <w:sz w:val="21"/>
                <w:szCs w:val="21"/>
                <w:shd w:val="clear" w:color="auto" w:fill="FFFFFF"/>
              </w:rPr>
              <w:t>переднюю</w:t>
            </w:r>
            <w:proofErr w:type="gramEnd"/>
            <w:r w:rsidRPr="00F11AE4">
              <w:rPr>
                <w:rFonts w:cs="Calibri"/>
                <w:color w:val="000000"/>
                <w:sz w:val="21"/>
                <w:szCs w:val="21"/>
                <w:shd w:val="clear" w:color="auto" w:fill="FFFFFF"/>
              </w:rPr>
              <w:t xml:space="preserve"> поверхность капсулы хрусталика, что дает отли</w:t>
            </w:r>
            <w:r>
              <w:rPr>
                <w:rFonts w:cs="Calibri"/>
                <w:color w:val="000000"/>
                <w:sz w:val="21"/>
                <w:szCs w:val="21"/>
                <w:shd w:val="clear" w:color="auto" w:fill="FFFFFF"/>
              </w:rPr>
              <w:t>чную визуализацию. Э</w:t>
            </w:r>
            <w:r w:rsidRPr="00F11AE4">
              <w:rPr>
                <w:rFonts w:cs="Calibri"/>
                <w:color w:val="000000"/>
                <w:sz w:val="21"/>
                <w:szCs w:val="21"/>
                <w:shd w:val="clear" w:color="auto" w:fill="FFFFFF"/>
              </w:rPr>
              <w:t xml:space="preserve">то стерильный препарат трипанового </w:t>
            </w:r>
            <w:proofErr w:type="gramStart"/>
            <w:r w:rsidRPr="00F11AE4">
              <w:rPr>
                <w:rFonts w:cs="Calibri"/>
                <w:color w:val="000000"/>
                <w:sz w:val="21"/>
                <w:szCs w:val="21"/>
                <w:shd w:val="clear" w:color="auto" w:fill="FFFFFF"/>
              </w:rPr>
              <w:t>синего</w:t>
            </w:r>
            <w:proofErr w:type="gramEnd"/>
            <w:r w:rsidRPr="00F11AE4">
              <w:rPr>
                <w:rFonts w:cs="Calibri"/>
                <w:color w:val="000000"/>
                <w:sz w:val="21"/>
                <w:szCs w:val="21"/>
                <w:shd w:val="clear" w:color="auto" w:fill="FFFFFF"/>
              </w:rPr>
              <w:t xml:space="preserve"> в изотонической буферной среде.</w:t>
            </w:r>
            <w:r w:rsidRPr="00F11AE4">
              <w:rPr>
                <w:rFonts w:cs="Calibri"/>
                <w:color w:val="000000"/>
                <w:sz w:val="21"/>
                <w:szCs w:val="21"/>
              </w:rPr>
              <w:br/>
            </w:r>
            <w:r w:rsidRPr="00F11AE4">
              <w:rPr>
                <w:rFonts w:cs="Calibri"/>
                <w:color w:val="000000"/>
                <w:sz w:val="21"/>
                <w:szCs w:val="21"/>
                <w:shd w:val="clear" w:color="auto" w:fill="FFFFFF"/>
              </w:rPr>
              <w:t>Упаковка: 1 мл 0,06 % раствора трипанового синего в шприце или флаконе.</w:t>
            </w:r>
          </w:p>
          <w:p w:rsidR="00210C23" w:rsidRPr="00E460CB" w:rsidRDefault="00F11AE4" w:rsidP="00F11AE4">
            <w:pPr>
              <w:rPr>
                <w:noProof/>
                <w:sz w:val="21"/>
                <w:szCs w:val="21"/>
              </w:rPr>
            </w:pPr>
            <w:r>
              <w:rPr>
                <w:rFonts w:cs="Calibri"/>
                <w:sz w:val="21"/>
                <w:szCs w:val="21"/>
              </w:rPr>
              <w:t>Состав:1 мл,</w:t>
            </w:r>
            <w:r w:rsidRPr="00F11AE4">
              <w:rPr>
                <w:rFonts w:cs="Calibri"/>
                <w:sz w:val="21"/>
                <w:szCs w:val="21"/>
              </w:rPr>
              <w:t xml:space="preserve"> 0.06% содержит 0,6 мг трипанового синего, pH 6.8-7.8</w:t>
            </w:r>
          </w:p>
        </w:tc>
      </w:tr>
    </w:tbl>
    <w:p w:rsidR="0076115E" w:rsidRDefault="0076115E" w:rsidP="0076115E">
      <w:pPr>
        <w:ind w:firstLine="567"/>
        <w:jc w:val="both"/>
        <w:rPr>
          <w:b/>
          <w:u w:val="single"/>
        </w:rPr>
      </w:pPr>
      <w:r>
        <w:rPr>
          <w:b/>
          <w:u w:val="single"/>
        </w:rPr>
        <w:t xml:space="preserve">Потенциальные поставщики должны гарантировать выполнение следующих сопутствующих услуг: </w:t>
      </w:r>
    </w:p>
    <w:p w:rsidR="0076115E" w:rsidRPr="006E03E5" w:rsidRDefault="0076115E" w:rsidP="0076115E">
      <w:pPr>
        <w:tabs>
          <w:tab w:val="left" w:pos="1170"/>
        </w:tabs>
      </w:pPr>
      <w:r w:rsidRPr="006E03E5">
        <w:t>1) Потенциальные поставщики обязаны обеспечить доставку медицинских  изделий</w:t>
      </w:r>
      <w:r w:rsidR="00BB1399">
        <w:t>,</w:t>
      </w:r>
      <w:r w:rsidRPr="006E03E5">
        <w:t xml:space="preserve"> в полном объеме непосредственно до КГП на ПХВ</w:t>
      </w:r>
      <w:proofErr w:type="gramStart"/>
      <w:r w:rsidRPr="006E03E5">
        <w:t>"М</w:t>
      </w:r>
      <w:proofErr w:type="gramEnd"/>
      <w:r w:rsidRPr="006E03E5">
        <w:t>ногопрофильная больница имени профессора Х.Ж.Макажанова" управления здравоохранения Карагандинской области</w:t>
      </w:r>
    </w:p>
    <w:p w:rsidR="0076115E" w:rsidRPr="006E03E5" w:rsidRDefault="0076115E" w:rsidP="0076115E">
      <w:pPr>
        <w:pStyle w:val="a4"/>
        <w:rPr>
          <w:rFonts w:ascii="Times New Roman" w:hAnsi="Times New Roman" w:cs="Times New Roman"/>
          <w:sz w:val="24"/>
          <w:szCs w:val="24"/>
        </w:rPr>
      </w:pPr>
      <w:r w:rsidRPr="006E03E5">
        <w:rPr>
          <w:rFonts w:ascii="Times New Roman" w:hAnsi="Times New Roman" w:cs="Times New Roman"/>
          <w:sz w:val="24"/>
          <w:szCs w:val="24"/>
        </w:rPr>
        <w:t>г</w:t>
      </w:r>
      <w:proofErr w:type="gramStart"/>
      <w:r w:rsidRPr="006E03E5">
        <w:rPr>
          <w:rFonts w:ascii="Times New Roman" w:hAnsi="Times New Roman" w:cs="Times New Roman"/>
          <w:sz w:val="24"/>
          <w:szCs w:val="24"/>
        </w:rPr>
        <w:t>.К</w:t>
      </w:r>
      <w:proofErr w:type="gramEnd"/>
      <w:r w:rsidRPr="006E03E5">
        <w:rPr>
          <w:rFonts w:ascii="Times New Roman" w:hAnsi="Times New Roman" w:cs="Times New Roman"/>
          <w:sz w:val="24"/>
          <w:szCs w:val="24"/>
        </w:rPr>
        <w:t>араганда, ул.Муканова 5/3.</w:t>
      </w:r>
    </w:p>
    <w:p w:rsidR="0076115E" w:rsidRPr="006E03E5" w:rsidRDefault="0076115E" w:rsidP="00C43521">
      <w:pPr>
        <w:jc w:val="both"/>
      </w:pPr>
      <w:r w:rsidRPr="006E03E5">
        <w:t>2) Обеспечить страховку товара, соответствующее  его хранение при прохождении таможенной  очистки, уплату таможенных пошлин, налогов, сборов и любые  другие  вспомогательные  услуги,  подлежащие  выполнению  потенциальным  поставщиком на  всем  протяжении  транспортировки медицинских изделий до момента  поставки  конечному  получателю</w:t>
      </w:r>
      <w:r w:rsidR="00C43521">
        <w:t>,</w:t>
      </w:r>
      <w:r w:rsidR="00C43521" w:rsidRPr="00C43521">
        <w:rPr>
          <w:sz w:val="22"/>
          <w:szCs w:val="22"/>
        </w:rPr>
        <w:t xml:space="preserve"> </w:t>
      </w:r>
      <w:r w:rsidR="00C43521">
        <w:rPr>
          <w:sz w:val="22"/>
          <w:szCs w:val="22"/>
        </w:rPr>
        <w:t>при поставке предоставить  сертификат  установленного образца на медицинские изделия.</w:t>
      </w:r>
      <w:r w:rsidR="00C43521">
        <w:rPr>
          <w:i/>
          <w:iCs/>
        </w:rPr>
        <w:t>(п.1,2</w:t>
      </w:r>
      <w:proofErr w:type="gramStart"/>
      <w:r w:rsidR="00C43521">
        <w:rPr>
          <w:i/>
          <w:iCs/>
        </w:rPr>
        <w:t xml:space="preserve"> </w:t>
      </w:r>
      <w:r w:rsidRPr="006E03E5">
        <w:rPr>
          <w:i/>
          <w:iCs/>
        </w:rPr>
        <w:t>П</w:t>
      </w:r>
      <w:proofErr w:type="gramEnd"/>
      <w:r w:rsidRPr="006E03E5">
        <w:rPr>
          <w:i/>
          <w:iCs/>
        </w:rPr>
        <w:t>одтвердить гарантийным письмом).</w:t>
      </w:r>
    </w:p>
    <w:p w:rsidR="0076115E" w:rsidRDefault="0076115E" w:rsidP="0076115E">
      <w:pPr>
        <w:pStyle w:val="a6"/>
        <w:jc w:val="both"/>
        <w:rPr>
          <w:sz w:val="22"/>
          <w:szCs w:val="22"/>
        </w:rPr>
      </w:pPr>
    </w:p>
    <w:p w:rsidR="006E03E5" w:rsidRDefault="006E03E5" w:rsidP="0076115E">
      <w:pPr>
        <w:tabs>
          <w:tab w:val="left" w:pos="1386"/>
        </w:tabs>
      </w:pPr>
    </w:p>
    <w:p w:rsidR="0076115E" w:rsidRDefault="0076115E" w:rsidP="0076115E">
      <w:pPr>
        <w:tabs>
          <w:tab w:val="left" w:pos="1386"/>
        </w:tabs>
      </w:pPr>
      <w:r>
        <w:t xml:space="preserve">Организатор тендера </w:t>
      </w:r>
    </w:p>
    <w:p w:rsidR="0076115E" w:rsidRDefault="0076115E" w:rsidP="0076115E">
      <w:pPr>
        <w:tabs>
          <w:tab w:val="left" w:pos="1170"/>
        </w:tabs>
      </w:pPr>
      <w:r>
        <w:t>КГП на ПХВ</w:t>
      </w:r>
      <w:proofErr w:type="gramStart"/>
      <w:r>
        <w:t>"М</w:t>
      </w:r>
      <w:proofErr w:type="gramEnd"/>
      <w:r>
        <w:t xml:space="preserve">ногопрофильная больница имени </w:t>
      </w:r>
    </w:p>
    <w:p w:rsidR="0076115E" w:rsidRDefault="0076115E" w:rsidP="0076115E">
      <w:pPr>
        <w:tabs>
          <w:tab w:val="left" w:pos="1170"/>
        </w:tabs>
      </w:pPr>
      <w:r>
        <w:t xml:space="preserve">профессора Х.Ж.Макажанова" управления </w:t>
      </w:r>
    </w:p>
    <w:p w:rsidR="0076115E" w:rsidRDefault="0076115E" w:rsidP="0076115E">
      <w:pPr>
        <w:tabs>
          <w:tab w:val="left" w:pos="1170"/>
        </w:tabs>
      </w:pPr>
      <w:r>
        <w:t>здравоохранения Карагандинской области</w:t>
      </w:r>
    </w:p>
    <w:p w:rsidR="00CF7ED6" w:rsidRDefault="0076115E" w:rsidP="0076115E">
      <w:r>
        <w:t>Директор                                                                                                                        Курмангалиев Е.Т.</w:t>
      </w:r>
    </w:p>
    <w:p w:rsidR="00CF7ED6" w:rsidRPr="00CF7ED6" w:rsidRDefault="00CF7ED6" w:rsidP="00CF7ED6"/>
    <w:p w:rsidR="00CF7ED6" w:rsidRPr="00CF7ED6" w:rsidRDefault="00CF7ED6" w:rsidP="00CF7ED6"/>
    <w:p w:rsidR="00CF7ED6" w:rsidRPr="00CF7ED6" w:rsidRDefault="00CF7ED6" w:rsidP="00CF7ED6"/>
    <w:p w:rsidR="00CF7ED6" w:rsidRPr="00CF7ED6" w:rsidRDefault="00CF7ED6" w:rsidP="00CF7ED6"/>
    <w:p w:rsidR="0076115E" w:rsidRPr="00CF7ED6" w:rsidRDefault="0076115E" w:rsidP="00CF7ED6"/>
    <w:sectPr w:rsidR="0076115E" w:rsidRPr="00CF7ED6" w:rsidSect="00A92B38">
      <w:pgSz w:w="16838" w:h="11906" w:orient="landscape"/>
      <w:pgMar w:top="284" w:right="1134"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4A52"/>
    <w:multiLevelType w:val="hybridMultilevel"/>
    <w:tmpl w:val="75B6356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CF660AD"/>
    <w:multiLevelType w:val="hybridMultilevel"/>
    <w:tmpl w:val="479224E4"/>
    <w:lvl w:ilvl="0" w:tplc="CB622270">
      <w:start w:val="1"/>
      <w:numFmt w:val="bullet"/>
      <w:lvlText w:val="•"/>
      <w:lvlJc w:val="left"/>
      <w:pPr>
        <w:tabs>
          <w:tab w:val="num" w:pos="720"/>
        </w:tabs>
        <w:ind w:left="720" w:hanging="360"/>
      </w:pPr>
      <w:rPr>
        <w:rFonts w:ascii="Arial" w:hAnsi="Arial" w:hint="default"/>
      </w:rPr>
    </w:lvl>
    <w:lvl w:ilvl="1" w:tplc="9F60CD9C" w:tentative="1">
      <w:start w:val="1"/>
      <w:numFmt w:val="bullet"/>
      <w:lvlText w:val="•"/>
      <w:lvlJc w:val="left"/>
      <w:pPr>
        <w:tabs>
          <w:tab w:val="num" w:pos="1440"/>
        </w:tabs>
        <w:ind w:left="1440" w:hanging="360"/>
      </w:pPr>
      <w:rPr>
        <w:rFonts w:ascii="Arial" w:hAnsi="Arial" w:hint="default"/>
      </w:rPr>
    </w:lvl>
    <w:lvl w:ilvl="2" w:tplc="7E283FE4" w:tentative="1">
      <w:start w:val="1"/>
      <w:numFmt w:val="bullet"/>
      <w:lvlText w:val="•"/>
      <w:lvlJc w:val="left"/>
      <w:pPr>
        <w:tabs>
          <w:tab w:val="num" w:pos="2160"/>
        </w:tabs>
        <w:ind w:left="2160" w:hanging="360"/>
      </w:pPr>
      <w:rPr>
        <w:rFonts w:ascii="Arial" w:hAnsi="Arial" w:hint="default"/>
      </w:rPr>
    </w:lvl>
    <w:lvl w:ilvl="3" w:tplc="8E1C543E" w:tentative="1">
      <w:start w:val="1"/>
      <w:numFmt w:val="bullet"/>
      <w:lvlText w:val="•"/>
      <w:lvlJc w:val="left"/>
      <w:pPr>
        <w:tabs>
          <w:tab w:val="num" w:pos="2880"/>
        </w:tabs>
        <w:ind w:left="2880" w:hanging="360"/>
      </w:pPr>
      <w:rPr>
        <w:rFonts w:ascii="Arial" w:hAnsi="Arial" w:hint="default"/>
      </w:rPr>
    </w:lvl>
    <w:lvl w:ilvl="4" w:tplc="32EA9EAE" w:tentative="1">
      <w:start w:val="1"/>
      <w:numFmt w:val="bullet"/>
      <w:lvlText w:val="•"/>
      <w:lvlJc w:val="left"/>
      <w:pPr>
        <w:tabs>
          <w:tab w:val="num" w:pos="3600"/>
        </w:tabs>
        <w:ind w:left="3600" w:hanging="360"/>
      </w:pPr>
      <w:rPr>
        <w:rFonts w:ascii="Arial" w:hAnsi="Arial" w:hint="default"/>
      </w:rPr>
    </w:lvl>
    <w:lvl w:ilvl="5" w:tplc="010C92BE" w:tentative="1">
      <w:start w:val="1"/>
      <w:numFmt w:val="bullet"/>
      <w:lvlText w:val="•"/>
      <w:lvlJc w:val="left"/>
      <w:pPr>
        <w:tabs>
          <w:tab w:val="num" w:pos="4320"/>
        </w:tabs>
        <w:ind w:left="4320" w:hanging="360"/>
      </w:pPr>
      <w:rPr>
        <w:rFonts w:ascii="Arial" w:hAnsi="Arial" w:hint="default"/>
      </w:rPr>
    </w:lvl>
    <w:lvl w:ilvl="6" w:tplc="FA0ADBAE" w:tentative="1">
      <w:start w:val="1"/>
      <w:numFmt w:val="bullet"/>
      <w:lvlText w:val="•"/>
      <w:lvlJc w:val="left"/>
      <w:pPr>
        <w:tabs>
          <w:tab w:val="num" w:pos="5040"/>
        </w:tabs>
        <w:ind w:left="5040" w:hanging="360"/>
      </w:pPr>
      <w:rPr>
        <w:rFonts w:ascii="Arial" w:hAnsi="Arial" w:hint="default"/>
      </w:rPr>
    </w:lvl>
    <w:lvl w:ilvl="7" w:tplc="230AC212" w:tentative="1">
      <w:start w:val="1"/>
      <w:numFmt w:val="bullet"/>
      <w:lvlText w:val="•"/>
      <w:lvlJc w:val="left"/>
      <w:pPr>
        <w:tabs>
          <w:tab w:val="num" w:pos="5760"/>
        </w:tabs>
        <w:ind w:left="5760" w:hanging="360"/>
      </w:pPr>
      <w:rPr>
        <w:rFonts w:ascii="Arial" w:hAnsi="Arial" w:hint="default"/>
      </w:rPr>
    </w:lvl>
    <w:lvl w:ilvl="8" w:tplc="B30E9042" w:tentative="1">
      <w:start w:val="1"/>
      <w:numFmt w:val="bullet"/>
      <w:lvlText w:val="•"/>
      <w:lvlJc w:val="left"/>
      <w:pPr>
        <w:tabs>
          <w:tab w:val="num" w:pos="6480"/>
        </w:tabs>
        <w:ind w:left="6480" w:hanging="360"/>
      </w:pPr>
      <w:rPr>
        <w:rFonts w:ascii="Arial" w:hAnsi="Arial" w:hint="default"/>
      </w:rPr>
    </w:lvl>
  </w:abstractNum>
  <w:abstractNum w:abstractNumId="2">
    <w:nsid w:val="22B81BF7"/>
    <w:multiLevelType w:val="hybridMultilevel"/>
    <w:tmpl w:val="15E2C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8874A24"/>
    <w:multiLevelType w:val="hybridMultilevel"/>
    <w:tmpl w:val="727A1AFA"/>
    <w:lvl w:ilvl="0" w:tplc="675490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8B33B1"/>
    <w:multiLevelType w:val="hybridMultilevel"/>
    <w:tmpl w:val="941A23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765A1CE5"/>
    <w:multiLevelType w:val="hybridMultilevel"/>
    <w:tmpl w:val="AAD05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05EA8"/>
    <w:rsid w:val="00002D5F"/>
    <w:rsid w:val="00005EA8"/>
    <w:rsid w:val="0001478D"/>
    <w:rsid w:val="00024B38"/>
    <w:rsid w:val="000307DA"/>
    <w:rsid w:val="00033921"/>
    <w:rsid w:val="0003640E"/>
    <w:rsid w:val="00037D79"/>
    <w:rsid w:val="00046C68"/>
    <w:rsid w:val="000609AF"/>
    <w:rsid w:val="00063DD2"/>
    <w:rsid w:val="00066552"/>
    <w:rsid w:val="00082F47"/>
    <w:rsid w:val="00091FE3"/>
    <w:rsid w:val="000C0C3C"/>
    <w:rsid w:val="000C14AA"/>
    <w:rsid w:val="000D3DA8"/>
    <w:rsid w:val="00105068"/>
    <w:rsid w:val="00113329"/>
    <w:rsid w:val="001203B6"/>
    <w:rsid w:val="00131751"/>
    <w:rsid w:val="0016033A"/>
    <w:rsid w:val="00160A77"/>
    <w:rsid w:val="00161B59"/>
    <w:rsid w:val="00170909"/>
    <w:rsid w:val="00170BCD"/>
    <w:rsid w:val="00171E24"/>
    <w:rsid w:val="00186736"/>
    <w:rsid w:val="001A355B"/>
    <w:rsid w:val="001B2A6E"/>
    <w:rsid w:val="001C259B"/>
    <w:rsid w:val="001C6D46"/>
    <w:rsid w:val="0020507F"/>
    <w:rsid w:val="00210C23"/>
    <w:rsid w:val="00212B9C"/>
    <w:rsid w:val="00227053"/>
    <w:rsid w:val="002540A4"/>
    <w:rsid w:val="002706C1"/>
    <w:rsid w:val="002A4CF6"/>
    <w:rsid w:val="002C150A"/>
    <w:rsid w:val="002F2353"/>
    <w:rsid w:val="00317E99"/>
    <w:rsid w:val="0032642C"/>
    <w:rsid w:val="00333736"/>
    <w:rsid w:val="00342A43"/>
    <w:rsid w:val="00353AC5"/>
    <w:rsid w:val="00357DB6"/>
    <w:rsid w:val="003679A6"/>
    <w:rsid w:val="00391DC0"/>
    <w:rsid w:val="00392D16"/>
    <w:rsid w:val="00393E05"/>
    <w:rsid w:val="003A4975"/>
    <w:rsid w:val="003B4D1F"/>
    <w:rsid w:val="003C38A8"/>
    <w:rsid w:val="003E75BC"/>
    <w:rsid w:val="003F6A1A"/>
    <w:rsid w:val="004044B3"/>
    <w:rsid w:val="00410815"/>
    <w:rsid w:val="00423A4B"/>
    <w:rsid w:val="00424889"/>
    <w:rsid w:val="004374B2"/>
    <w:rsid w:val="0045227B"/>
    <w:rsid w:val="004642F3"/>
    <w:rsid w:val="0046746B"/>
    <w:rsid w:val="00470A50"/>
    <w:rsid w:val="004776FD"/>
    <w:rsid w:val="0049378E"/>
    <w:rsid w:val="004A4247"/>
    <w:rsid w:val="004A669F"/>
    <w:rsid w:val="004B035A"/>
    <w:rsid w:val="004C1999"/>
    <w:rsid w:val="004E2C34"/>
    <w:rsid w:val="004E6089"/>
    <w:rsid w:val="004E6703"/>
    <w:rsid w:val="005043C5"/>
    <w:rsid w:val="005118F4"/>
    <w:rsid w:val="005140E2"/>
    <w:rsid w:val="00514B1D"/>
    <w:rsid w:val="00520B08"/>
    <w:rsid w:val="005232CB"/>
    <w:rsid w:val="005327A3"/>
    <w:rsid w:val="00541F61"/>
    <w:rsid w:val="00542585"/>
    <w:rsid w:val="00547AA1"/>
    <w:rsid w:val="005524E1"/>
    <w:rsid w:val="0057368E"/>
    <w:rsid w:val="005879DA"/>
    <w:rsid w:val="005B2768"/>
    <w:rsid w:val="005B422E"/>
    <w:rsid w:val="005D3F8F"/>
    <w:rsid w:val="005D6FAA"/>
    <w:rsid w:val="005F3EA1"/>
    <w:rsid w:val="005F6795"/>
    <w:rsid w:val="006030D4"/>
    <w:rsid w:val="006126B3"/>
    <w:rsid w:val="00624883"/>
    <w:rsid w:val="00657B57"/>
    <w:rsid w:val="00661B72"/>
    <w:rsid w:val="00663BEF"/>
    <w:rsid w:val="00665F1E"/>
    <w:rsid w:val="00677A13"/>
    <w:rsid w:val="0068353C"/>
    <w:rsid w:val="00683C87"/>
    <w:rsid w:val="006949DF"/>
    <w:rsid w:val="006A192B"/>
    <w:rsid w:val="006C3C29"/>
    <w:rsid w:val="006C57F1"/>
    <w:rsid w:val="006E03E5"/>
    <w:rsid w:val="006F4CA4"/>
    <w:rsid w:val="00702C76"/>
    <w:rsid w:val="007049F7"/>
    <w:rsid w:val="007261F9"/>
    <w:rsid w:val="00730B30"/>
    <w:rsid w:val="00732640"/>
    <w:rsid w:val="00747455"/>
    <w:rsid w:val="00754E6B"/>
    <w:rsid w:val="0076115E"/>
    <w:rsid w:val="00765AC3"/>
    <w:rsid w:val="007773FD"/>
    <w:rsid w:val="00782FCC"/>
    <w:rsid w:val="007A2CFB"/>
    <w:rsid w:val="007A5C93"/>
    <w:rsid w:val="007E4B68"/>
    <w:rsid w:val="007F5C19"/>
    <w:rsid w:val="00851569"/>
    <w:rsid w:val="00880C9D"/>
    <w:rsid w:val="00880F91"/>
    <w:rsid w:val="00891948"/>
    <w:rsid w:val="008B2638"/>
    <w:rsid w:val="008B34EB"/>
    <w:rsid w:val="008C0DE6"/>
    <w:rsid w:val="008C292A"/>
    <w:rsid w:val="008C3E68"/>
    <w:rsid w:val="008C524F"/>
    <w:rsid w:val="008D0F80"/>
    <w:rsid w:val="008D2E5C"/>
    <w:rsid w:val="008D59C3"/>
    <w:rsid w:val="008E3342"/>
    <w:rsid w:val="008E6954"/>
    <w:rsid w:val="008E7E08"/>
    <w:rsid w:val="008F08EA"/>
    <w:rsid w:val="008F310D"/>
    <w:rsid w:val="009020ED"/>
    <w:rsid w:val="00906F2D"/>
    <w:rsid w:val="00927A5F"/>
    <w:rsid w:val="009533DE"/>
    <w:rsid w:val="00955B71"/>
    <w:rsid w:val="009629E1"/>
    <w:rsid w:val="00965488"/>
    <w:rsid w:val="009665A3"/>
    <w:rsid w:val="00977981"/>
    <w:rsid w:val="009A73A1"/>
    <w:rsid w:val="009A747E"/>
    <w:rsid w:val="009B4785"/>
    <w:rsid w:val="009C08BB"/>
    <w:rsid w:val="009C316C"/>
    <w:rsid w:val="009C6FB7"/>
    <w:rsid w:val="009E4C64"/>
    <w:rsid w:val="009E583D"/>
    <w:rsid w:val="009E59CC"/>
    <w:rsid w:val="009F1FCE"/>
    <w:rsid w:val="009F3BF8"/>
    <w:rsid w:val="00A17685"/>
    <w:rsid w:val="00A21358"/>
    <w:rsid w:val="00A22217"/>
    <w:rsid w:val="00A36E01"/>
    <w:rsid w:val="00A42472"/>
    <w:rsid w:val="00A42625"/>
    <w:rsid w:val="00A436D8"/>
    <w:rsid w:val="00A53C93"/>
    <w:rsid w:val="00A53F12"/>
    <w:rsid w:val="00A65877"/>
    <w:rsid w:val="00A667CE"/>
    <w:rsid w:val="00A775C4"/>
    <w:rsid w:val="00A8587A"/>
    <w:rsid w:val="00A92B38"/>
    <w:rsid w:val="00AC341F"/>
    <w:rsid w:val="00AD6BBF"/>
    <w:rsid w:val="00AF22BA"/>
    <w:rsid w:val="00B171CA"/>
    <w:rsid w:val="00B246F0"/>
    <w:rsid w:val="00B260FA"/>
    <w:rsid w:val="00B32DE8"/>
    <w:rsid w:val="00B46D1A"/>
    <w:rsid w:val="00B51BBF"/>
    <w:rsid w:val="00B57CE9"/>
    <w:rsid w:val="00B62801"/>
    <w:rsid w:val="00B90084"/>
    <w:rsid w:val="00BB1399"/>
    <w:rsid w:val="00BB2993"/>
    <w:rsid w:val="00BB4EC5"/>
    <w:rsid w:val="00BC1F74"/>
    <w:rsid w:val="00BD478F"/>
    <w:rsid w:val="00BD5A8D"/>
    <w:rsid w:val="00BF653F"/>
    <w:rsid w:val="00C028ED"/>
    <w:rsid w:val="00C22DCB"/>
    <w:rsid w:val="00C43521"/>
    <w:rsid w:val="00C45916"/>
    <w:rsid w:val="00C53B5D"/>
    <w:rsid w:val="00C66005"/>
    <w:rsid w:val="00C77B72"/>
    <w:rsid w:val="00C858CB"/>
    <w:rsid w:val="00C97B16"/>
    <w:rsid w:val="00CA0045"/>
    <w:rsid w:val="00CB01A3"/>
    <w:rsid w:val="00CB1F08"/>
    <w:rsid w:val="00CC5098"/>
    <w:rsid w:val="00CD289A"/>
    <w:rsid w:val="00CD6CF6"/>
    <w:rsid w:val="00CF7ED6"/>
    <w:rsid w:val="00D0059E"/>
    <w:rsid w:val="00D12A89"/>
    <w:rsid w:val="00D35A94"/>
    <w:rsid w:val="00D540D0"/>
    <w:rsid w:val="00D57BA7"/>
    <w:rsid w:val="00D71E5A"/>
    <w:rsid w:val="00D87DC7"/>
    <w:rsid w:val="00D9190A"/>
    <w:rsid w:val="00D93CA1"/>
    <w:rsid w:val="00D94BAC"/>
    <w:rsid w:val="00D956A6"/>
    <w:rsid w:val="00DB18D5"/>
    <w:rsid w:val="00DF4082"/>
    <w:rsid w:val="00DF4AA9"/>
    <w:rsid w:val="00DF7B7F"/>
    <w:rsid w:val="00E02C2E"/>
    <w:rsid w:val="00E04B58"/>
    <w:rsid w:val="00E06923"/>
    <w:rsid w:val="00E11BA0"/>
    <w:rsid w:val="00E20867"/>
    <w:rsid w:val="00E33FD6"/>
    <w:rsid w:val="00E4058E"/>
    <w:rsid w:val="00E460CB"/>
    <w:rsid w:val="00E6325E"/>
    <w:rsid w:val="00E634A3"/>
    <w:rsid w:val="00E65155"/>
    <w:rsid w:val="00E864DA"/>
    <w:rsid w:val="00E907CB"/>
    <w:rsid w:val="00E93E32"/>
    <w:rsid w:val="00E9574B"/>
    <w:rsid w:val="00ED0755"/>
    <w:rsid w:val="00ED1D27"/>
    <w:rsid w:val="00ED7B0D"/>
    <w:rsid w:val="00EE1321"/>
    <w:rsid w:val="00F01D2B"/>
    <w:rsid w:val="00F11AE4"/>
    <w:rsid w:val="00F17C01"/>
    <w:rsid w:val="00F46A09"/>
    <w:rsid w:val="00F46F01"/>
    <w:rsid w:val="00F5521B"/>
    <w:rsid w:val="00F60ED2"/>
    <w:rsid w:val="00F825B3"/>
    <w:rsid w:val="00F84B80"/>
    <w:rsid w:val="00F903F7"/>
    <w:rsid w:val="00FA2D45"/>
    <w:rsid w:val="00FA33A7"/>
    <w:rsid w:val="00FB74C7"/>
    <w:rsid w:val="00FC27FA"/>
    <w:rsid w:val="00FC73B5"/>
    <w:rsid w:val="00FC76EE"/>
    <w:rsid w:val="00FD1FCB"/>
    <w:rsid w:val="00FD2227"/>
    <w:rsid w:val="00FD58B6"/>
    <w:rsid w:val="00FD7B0B"/>
    <w:rsid w:val="00FF1EF6"/>
    <w:rsid w:val="00FF4E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E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005EA8"/>
    <w:pPr>
      <w:spacing w:after="0" w:line="240" w:lineRule="auto"/>
    </w:pPr>
    <w:rPr>
      <w:rFonts w:eastAsiaTheme="minorEastAsia"/>
      <w:lang w:eastAsia="ru-RU"/>
    </w:rPr>
  </w:style>
  <w:style w:type="paragraph" w:styleId="a6">
    <w:name w:val="Body Text"/>
    <w:basedOn w:val="a"/>
    <w:link w:val="a7"/>
    <w:rsid w:val="00683C87"/>
    <w:pPr>
      <w:widowControl w:val="0"/>
      <w:jc w:val="center"/>
    </w:pPr>
    <w:rPr>
      <w:sz w:val="28"/>
      <w:szCs w:val="20"/>
    </w:rPr>
  </w:style>
  <w:style w:type="character" w:customStyle="1" w:styleId="a7">
    <w:name w:val="Основной текст Знак"/>
    <w:basedOn w:val="a0"/>
    <w:link w:val="a6"/>
    <w:rsid w:val="00683C87"/>
    <w:rPr>
      <w:rFonts w:ascii="Times New Roman" w:eastAsia="Times New Roman" w:hAnsi="Times New Roman" w:cs="Times New Roman"/>
      <w:sz w:val="28"/>
      <w:szCs w:val="20"/>
      <w:lang w:eastAsia="ru-RU"/>
    </w:rPr>
  </w:style>
  <w:style w:type="character" w:customStyle="1" w:styleId="FontStyle83">
    <w:name w:val="Font Style83"/>
    <w:rsid w:val="008E6954"/>
    <w:rPr>
      <w:rFonts w:ascii="Times New Roman" w:hAnsi="Times New Roman" w:cs="Times New Roman"/>
      <w:sz w:val="20"/>
      <w:szCs w:val="20"/>
    </w:rPr>
  </w:style>
  <w:style w:type="paragraph" w:styleId="a8">
    <w:name w:val="List Paragraph"/>
    <w:basedOn w:val="a"/>
    <w:uiPriority w:val="34"/>
    <w:qFormat/>
    <w:rsid w:val="00E33FD6"/>
    <w:pPr>
      <w:ind w:left="720"/>
      <w:contextualSpacing/>
    </w:pPr>
  </w:style>
  <w:style w:type="paragraph" w:customStyle="1" w:styleId="1">
    <w:name w:val="Обычный1"/>
    <w:rsid w:val="00227053"/>
    <w:pPr>
      <w:widowControl w:val="0"/>
      <w:spacing w:after="0" w:line="240" w:lineRule="auto"/>
    </w:pPr>
    <w:rPr>
      <w:rFonts w:ascii="Times New Roman" w:eastAsia="Times New Roman" w:hAnsi="Times New Roman" w:cs="Times New Roman"/>
      <w:snapToGrid w:val="0"/>
      <w:szCs w:val="20"/>
      <w:lang w:eastAsia="ru-RU"/>
    </w:rPr>
  </w:style>
  <w:style w:type="paragraph" w:customStyle="1" w:styleId="Iauiue">
    <w:name w:val="Iau?iue"/>
    <w:rsid w:val="00DF4AA9"/>
    <w:pPr>
      <w:widowControl w:val="0"/>
      <w:spacing w:after="0" w:line="240" w:lineRule="auto"/>
    </w:pPr>
    <w:rPr>
      <w:rFonts w:ascii="Times New Roman" w:eastAsia="Times New Roman" w:hAnsi="Times New Roman" w:cs="Times New Roman"/>
      <w:sz w:val="20"/>
      <w:szCs w:val="20"/>
      <w:lang w:eastAsia="ru-RU"/>
    </w:rPr>
  </w:style>
  <w:style w:type="paragraph" w:styleId="a9">
    <w:name w:val="Normal (Web)"/>
    <w:basedOn w:val="a"/>
    <w:uiPriority w:val="99"/>
    <w:rsid w:val="00DF4AA9"/>
    <w:pPr>
      <w:spacing w:before="100" w:beforeAutospacing="1" w:after="100" w:afterAutospacing="1"/>
    </w:pPr>
    <w:rPr>
      <w:rFonts w:ascii="Arial Unicode MS" w:eastAsia="Arial Unicode MS" w:hAnsi="Arial Unicode MS" w:cs="Arial Unicode MS"/>
    </w:rPr>
  </w:style>
  <w:style w:type="character" w:customStyle="1" w:styleId="translation-chunk">
    <w:name w:val="translation-chunk"/>
    <w:basedOn w:val="a0"/>
    <w:rsid w:val="008C0DE6"/>
  </w:style>
  <w:style w:type="character" w:styleId="aa">
    <w:name w:val="Emphasis"/>
    <w:basedOn w:val="a0"/>
    <w:qFormat/>
    <w:rsid w:val="008C0DE6"/>
    <w:rPr>
      <w:i/>
      <w:iCs/>
    </w:rPr>
  </w:style>
  <w:style w:type="character" w:customStyle="1" w:styleId="a5">
    <w:name w:val="Без интервала Знак"/>
    <w:link w:val="a4"/>
    <w:uiPriority w:val="1"/>
    <w:locked/>
    <w:rsid w:val="0076115E"/>
    <w:rPr>
      <w:rFonts w:eastAsiaTheme="minorEastAsia"/>
      <w:lang w:eastAsia="ru-RU"/>
    </w:rPr>
  </w:style>
  <w:style w:type="paragraph" w:customStyle="1" w:styleId="Default">
    <w:name w:val="Default"/>
    <w:rsid w:val="00B246F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31795560">
      <w:bodyDiv w:val="1"/>
      <w:marLeft w:val="0"/>
      <w:marRight w:val="0"/>
      <w:marTop w:val="0"/>
      <w:marBottom w:val="0"/>
      <w:divBdr>
        <w:top w:val="none" w:sz="0" w:space="0" w:color="auto"/>
        <w:left w:val="none" w:sz="0" w:space="0" w:color="auto"/>
        <w:bottom w:val="none" w:sz="0" w:space="0" w:color="auto"/>
        <w:right w:val="none" w:sz="0" w:space="0" w:color="auto"/>
      </w:divBdr>
    </w:div>
    <w:div w:id="1194344538">
      <w:bodyDiv w:val="1"/>
      <w:marLeft w:val="0"/>
      <w:marRight w:val="0"/>
      <w:marTop w:val="0"/>
      <w:marBottom w:val="0"/>
      <w:divBdr>
        <w:top w:val="none" w:sz="0" w:space="0" w:color="auto"/>
        <w:left w:val="none" w:sz="0" w:space="0" w:color="auto"/>
        <w:bottom w:val="none" w:sz="0" w:space="0" w:color="auto"/>
        <w:right w:val="none" w:sz="0" w:space="0" w:color="auto"/>
      </w:divBdr>
    </w:div>
    <w:div w:id="188968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C68D0-2FA5-42F0-93F0-63F880FF7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2984</Words>
  <Characters>17014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47</cp:revision>
  <cp:lastPrinted>2023-03-06T17:54:00Z</cp:lastPrinted>
  <dcterms:created xsi:type="dcterms:W3CDTF">2021-12-27T05:55:00Z</dcterms:created>
  <dcterms:modified xsi:type="dcterms:W3CDTF">2023-02-15T11:55:00Z</dcterms:modified>
</cp:coreProperties>
</file>